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0E8AEC">
      <w:pPr>
        <w:pStyle w:val="228"/>
        <w:spacing w:before="0" w:after="0"/>
        <w:ind w:firstLine="0"/>
        <w:jc w:val="center"/>
        <w:rPr>
          <w:rFonts w:ascii="宋体" w:hAnsi="宋体" w:cs="宋体"/>
          <w:b/>
          <w:bCs/>
          <w:sz w:val="84"/>
          <w:szCs w:val="84"/>
        </w:rPr>
      </w:pPr>
      <w:bookmarkStart w:id="0" w:name="_Toc5544"/>
      <w:bookmarkStart w:id="1" w:name="_Toc3793"/>
      <w:bookmarkStart w:id="2" w:name="_Toc2539"/>
      <w:bookmarkStart w:id="3" w:name="_Toc6554"/>
      <w:bookmarkStart w:id="4" w:name="_Toc10769"/>
      <w:bookmarkStart w:id="5" w:name="_Toc6715"/>
    </w:p>
    <w:p w14:paraId="46419CC1">
      <w:pPr>
        <w:pStyle w:val="228"/>
        <w:spacing w:before="0" w:after="0"/>
        <w:ind w:firstLine="0"/>
        <w:jc w:val="center"/>
        <w:outlineLvl w:val="0"/>
        <w:rPr>
          <w:rFonts w:ascii="宋体" w:hAnsi="宋体" w:cs="宋体"/>
          <w:b/>
          <w:bCs/>
          <w:sz w:val="84"/>
          <w:szCs w:val="84"/>
        </w:rPr>
      </w:pPr>
      <w:bookmarkStart w:id="6" w:name="_Toc24576"/>
      <w:r>
        <w:rPr>
          <w:rFonts w:hint="eastAsia" w:ascii="宋体" w:hAnsi="宋体" w:cs="宋体"/>
          <w:b/>
          <w:bCs/>
          <w:sz w:val="84"/>
          <w:szCs w:val="84"/>
        </w:rPr>
        <w:t>招　标　文　件</w:t>
      </w:r>
      <w:bookmarkEnd w:id="0"/>
      <w:bookmarkEnd w:id="1"/>
      <w:bookmarkEnd w:id="2"/>
      <w:bookmarkEnd w:id="3"/>
      <w:bookmarkEnd w:id="4"/>
      <w:bookmarkEnd w:id="5"/>
      <w:bookmarkEnd w:id="6"/>
    </w:p>
    <w:p w14:paraId="715EE368">
      <w:pPr>
        <w:pStyle w:val="228"/>
        <w:spacing w:line="440" w:lineRule="exact"/>
        <w:ind w:firstLine="1928"/>
        <w:rPr>
          <w:rFonts w:ascii="宋体" w:hAnsi="宋体"/>
          <w:b/>
          <w:bCs/>
          <w:sz w:val="32"/>
          <w:szCs w:val="32"/>
        </w:rPr>
      </w:pPr>
    </w:p>
    <w:p w14:paraId="2CD18266">
      <w:pPr>
        <w:pStyle w:val="228"/>
        <w:spacing w:line="440" w:lineRule="exact"/>
        <w:ind w:firstLine="1928"/>
        <w:rPr>
          <w:rFonts w:ascii="宋体" w:hAnsi="宋体"/>
          <w:b/>
          <w:bCs/>
          <w:sz w:val="32"/>
          <w:szCs w:val="32"/>
        </w:rPr>
      </w:pPr>
    </w:p>
    <w:p w14:paraId="25E4EF4D">
      <w:pPr>
        <w:pStyle w:val="228"/>
        <w:spacing w:line="440" w:lineRule="exact"/>
        <w:ind w:firstLine="1928"/>
        <w:rPr>
          <w:rFonts w:ascii="宋体" w:hAnsi="宋体"/>
          <w:b/>
          <w:bCs/>
          <w:sz w:val="32"/>
          <w:szCs w:val="32"/>
        </w:rPr>
      </w:pPr>
    </w:p>
    <w:p w14:paraId="6D816F72">
      <w:pPr>
        <w:pStyle w:val="228"/>
        <w:spacing w:line="440" w:lineRule="exact"/>
        <w:ind w:firstLine="1928"/>
        <w:rPr>
          <w:rFonts w:ascii="宋体" w:hAnsi="宋体" w:cs="宋体"/>
          <w:b/>
          <w:bCs/>
          <w:sz w:val="32"/>
          <w:szCs w:val="32"/>
        </w:rPr>
      </w:pPr>
    </w:p>
    <w:p w14:paraId="37F740F7">
      <w:pPr>
        <w:pStyle w:val="228"/>
        <w:spacing w:before="0" w:after="0"/>
        <w:ind w:firstLine="0"/>
        <w:jc w:val="center"/>
        <w:rPr>
          <w:rFonts w:ascii="宋体" w:hAnsi="宋体" w:cs="宋体"/>
          <w:b/>
          <w:bCs/>
          <w:sz w:val="32"/>
          <w:szCs w:val="32"/>
        </w:rPr>
      </w:pPr>
      <w:bookmarkStart w:id="7" w:name="_Toc17697"/>
      <w:bookmarkStart w:id="8" w:name="_Toc23945"/>
      <w:bookmarkStart w:id="9" w:name="_Toc2262"/>
      <w:bookmarkStart w:id="10" w:name="_Toc14121"/>
      <w:r>
        <w:rPr>
          <w:rFonts w:hint="eastAsia" w:ascii="宋体" w:hAnsi="宋体" w:cs="宋体"/>
          <w:b/>
          <w:bCs/>
          <w:sz w:val="32"/>
          <w:szCs w:val="32"/>
        </w:rPr>
        <w:t>项目名称：</w:t>
      </w:r>
      <w:bookmarkEnd w:id="7"/>
      <w:bookmarkEnd w:id="8"/>
      <w:bookmarkEnd w:id="9"/>
      <w:bookmarkEnd w:id="10"/>
      <w:bookmarkStart w:id="11" w:name="_Toc30397"/>
      <w:r>
        <w:rPr>
          <w:rFonts w:hint="eastAsia" w:ascii="宋体" w:hAnsi="宋体" w:cs="宋体"/>
          <w:b/>
          <w:bCs/>
          <w:sz w:val="32"/>
          <w:szCs w:val="32"/>
        </w:rPr>
        <w:t>2025年锦丰镇“苏安充”项目</w:t>
      </w:r>
    </w:p>
    <w:p w14:paraId="7A170D52">
      <w:pPr>
        <w:pStyle w:val="228"/>
        <w:spacing w:before="0" w:after="0"/>
        <w:ind w:firstLine="0"/>
        <w:jc w:val="center"/>
        <w:rPr>
          <w:rFonts w:ascii="宋体" w:hAnsi="宋体" w:cs="宋体"/>
          <w:b/>
          <w:bCs/>
          <w:sz w:val="32"/>
          <w:szCs w:val="32"/>
        </w:rPr>
      </w:pPr>
      <w:r>
        <w:rPr>
          <w:rFonts w:hint="eastAsia" w:ascii="宋体" w:hAnsi="宋体" w:cs="宋体"/>
          <w:b/>
          <w:bCs/>
          <w:sz w:val="32"/>
          <w:szCs w:val="32"/>
        </w:rPr>
        <w:t>项目编号：</w:t>
      </w:r>
      <w:bookmarkEnd w:id="11"/>
      <w:r>
        <w:rPr>
          <w:rFonts w:hint="eastAsia" w:ascii="宋体" w:hAnsi="宋体" w:cs="宋体"/>
          <w:b/>
          <w:bCs/>
          <w:sz w:val="32"/>
          <w:szCs w:val="32"/>
        </w:rPr>
        <w:t>JSZC-320582-XDZX-G2025-0013</w:t>
      </w:r>
    </w:p>
    <w:p w14:paraId="4D2F7F37">
      <w:pPr>
        <w:pStyle w:val="228"/>
        <w:spacing w:before="0" w:after="0"/>
        <w:ind w:firstLine="0"/>
        <w:jc w:val="center"/>
        <w:rPr>
          <w:rFonts w:ascii="宋体" w:hAnsi="宋体" w:cs="宋体"/>
          <w:b/>
          <w:bCs/>
          <w:sz w:val="32"/>
          <w:szCs w:val="32"/>
        </w:rPr>
      </w:pPr>
      <w:r>
        <w:rPr>
          <w:rFonts w:hint="eastAsia" w:ascii="宋体" w:hAnsi="宋体"/>
          <w:b/>
          <w:sz w:val="32"/>
          <w:szCs w:val="32"/>
        </w:rPr>
        <w:t>项目属性：</w:t>
      </w:r>
      <w:r>
        <w:rPr>
          <w:rFonts w:hint="eastAsia" w:ascii="宋体" w:hAnsi="宋体"/>
          <w:b/>
          <w:bCs/>
          <w:sz w:val="32"/>
          <w:szCs w:val="32"/>
        </w:rPr>
        <w:t>货物类</w:t>
      </w:r>
    </w:p>
    <w:p w14:paraId="4F28279E">
      <w:pPr>
        <w:pStyle w:val="228"/>
        <w:spacing w:before="0" w:after="0" w:line="440" w:lineRule="exact"/>
        <w:ind w:firstLine="640"/>
        <w:rPr>
          <w:rFonts w:ascii="宋体" w:hAnsi="宋体"/>
          <w:sz w:val="32"/>
          <w:szCs w:val="32"/>
        </w:rPr>
      </w:pPr>
      <w:r>
        <w:rPr>
          <w:rFonts w:hint="eastAsia" w:ascii="宋体" w:hAnsi="宋体"/>
          <w:sz w:val="32"/>
          <w:szCs w:val="32"/>
        </w:rPr>
        <w:t xml:space="preserve">                            </w:t>
      </w:r>
    </w:p>
    <w:p w14:paraId="184A342F">
      <w:pPr>
        <w:spacing w:line="300" w:lineRule="auto"/>
        <w:ind w:firstLine="2329"/>
        <w:jc w:val="center"/>
        <w:rPr>
          <w:b/>
          <w:bCs/>
          <w:sz w:val="32"/>
          <w:szCs w:val="32"/>
        </w:rPr>
      </w:pPr>
    </w:p>
    <w:p w14:paraId="29211906">
      <w:pPr>
        <w:pStyle w:val="51"/>
        <w:ind w:firstLine="0"/>
        <w:rPr>
          <w:b/>
          <w:bCs/>
          <w:sz w:val="32"/>
          <w:szCs w:val="32"/>
        </w:rPr>
      </w:pPr>
    </w:p>
    <w:p w14:paraId="439373CC">
      <w:pPr>
        <w:rPr>
          <w:b/>
          <w:bCs/>
          <w:sz w:val="32"/>
          <w:szCs w:val="32"/>
        </w:rPr>
      </w:pPr>
    </w:p>
    <w:p w14:paraId="1BD3D936">
      <w:pPr>
        <w:pStyle w:val="2"/>
        <w:rPr>
          <w:b/>
          <w:bCs/>
          <w:sz w:val="32"/>
          <w:szCs w:val="32"/>
        </w:rPr>
      </w:pPr>
    </w:p>
    <w:p w14:paraId="458C4B7A">
      <w:pPr>
        <w:rPr>
          <w:b/>
          <w:bCs/>
          <w:sz w:val="32"/>
          <w:szCs w:val="32"/>
        </w:rPr>
      </w:pPr>
    </w:p>
    <w:p w14:paraId="0AD5756D">
      <w:pPr>
        <w:pStyle w:val="2"/>
      </w:pPr>
    </w:p>
    <w:p w14:paraId="4946EEAA">
      <w:pPr>
        <w:spacing w:line="300" w:lineRule="auto"/>
        <w:ind w:firstLine="0"/>
        <w:jc w:val="center"/>
        <w:rPr>
          <w:b/>
          <w:bCs/>
          <w:sz w:val="32"/>
          <w:szCs w:val="32"/>
        </w:rPr>
      </w:pPr>
    </w:p>
    <w:p w14:paraId="0D1955D8">
      <w:pPr>
        <w:ind w:firstLine="0"/>
        <w:jc w:val="center"/>
        <w:rPr>
          <w:b/>
          <w:bCs/>
          <w:sz w:val="32"/>
          <w:szCs w:val="32"/>
        </w:rPr>
      </w:pPr>
      <w:bookmarkStart w:id="12" w:name="_Toc31781"/>
      <w:bookmarkStart w:id="13" w:name="_Toc9512"/>
      <w:bookmarkStart w:id="14" w:name="_Toc3469"/>
      <w:bookmarkStart w:id="15" w:name="_Toc29602"/>
      <w:r>
        <w:rPr>
          <w:rFonts w:hint="eastAsia"/>
          <w:b/>
          <w:bCs/>
          <w:sz w:val="32"/>
          <w:szCs w:val="32"/>
        </w:rPr>
        <w:t>张家港市旭</w:t>
      </w:r>
      <w:bookmarkStart w:id="16" w:name="_Toc479757206"/>
      <w:bookmarkStart w:id="17" w:name="_Toc16938516"/>
      <w:bookmarkStart w:id="18" w:name="_Toc513029200"/>
      <w:bookmarkStart w:id="19" w:name="_Toc120614211"/>
      <w:bookmarkStart w:id="20" w:name="_Toc523127445"/>
      <w:bookmarkStart w:id="21" w:name="_Toc20823272"/>
      <w:r>
        <w:rPr>
          <w:rFonts w:hint="eastAsia"/>
          <w:b/>
          <w:bCs/>
          <w:sz w:val="32"/>
          <w:szCs w:val="32"/>
        </w:rPr>
        <w:t>达咨询有限公司</w:t>
      </w:r>
      <w:bookmarkEnd w:id="12"/>
      <w:bookmarkEnd w:id="13"/>
      <w:bookmarkEnd w:id="14"/>
      <w:bookmarkEnd w:id="15"/>
    </w:p>
    <w:p w14:paraId="50CC06E9">
      <w:pPr>
        <w:pStyle w:val="228"/>
        <w:spacing w:before="0" w:after="0" w:line="440" w:lineRule="exact"/>
        <w:ind w:firstLine="0"/>
        <w:jc w:val="center"/>
        <w:rPr>
          <w:rFonts w:ascii="宋体" w:hAnsi="宋体"/>
          <w:sz w:val="32"/>
          <w:szCs w:val="32"/>
        </w:rPr>
      </w:pPr>
    </w:p>
    <w:p w14:paraId="5033E2AC">
      <w:pPr>
        <w:pStyle w:val="207"/>
        <w:ind w:firstLine="0"/>
        <w:jc w:val="center"/>
        <w:rPr>
          <w:rFonts w:ascii="宋体" w:hAnsi="宋体"/>
          <w:b/>
          <w:bCs/>
          <w:sz w:val="32"/>
          <w:szCs w:val="32"/>
        </w:rPr>
      </w:pPr>
      <w:r>
        <w:rPr>
          <w:rFonts w:hint="eastAsia" w:ascii="宋体" w:hAnsi="宋体"/>
          <w:b/>
          <w:bCs/>
          <w:sz w:val="32"/>
          <w:szCs w:val="32"/>
        </w:rPr>
        <w:t>二〇二五年</w:t>
      </w:r>
      <w:r>
        <w:rPr>
          <w:rFonts w:hint="eastAsia" w:ascii="宋体" w:hAnsi="宋体"/>
          <w:b/>
          <w:bCs/>
          <w:sz w:val="32"/>
          <w:szCs w:val="32"/>
          <w:lang w:val="en-US" w:eastAsia="zh-CN"/>
        </w:rPr>
        <w:t>十一</w:t>
      </w:r>
      <w:r>
        <w:rPr>
          <w:rFonts w:hint="eastAsia" w:ascii="宋体" w:hAnsi="宋体"/>
          <w:b/>
          <w:bCs/>
          <w:sz w:val="32"/>
          <w:szCs w:val="32"/>
        </w:rPr>
        <w:t>月</w:t>
      </w:r>
    </w:p>
    <w:p w14:paraId="7D7AB81B">
      <w:pPr>
        <w:ind w:firstLine="420"/>
      </w:pPr>
    </w:p>
    <w:p w14:paraId="51EF1154">
      <w:pPr>
        <w:pageBreakBefore/>
        <w:spacing w:before="200" w:after="120"/>
        <w:ind w:firstLine="0"/>
        <w:jc w:val="center"/>
        <w:rPr>
          <w:rFonts w:ascii="宋体" w:hAnsi="宋体" w:cs="宋体"/>
          <w:b/>
          <w:bCs/>
          <w:sz w:val="44"/>
          <w:szCs w:val="44"/>
        </w:rPr>
        <w:sectPr>
          <w:footerReference r:id="rId7" w:type="first"/>
          <w:headerReference r:id="rId5" w:type="default"/>
          <w:footerReference r:id="rId6" w:type="default"/>
          <w:footnotePr>
            <w:numFmt w:val="decimalEnclosedCircleChinese"/>
          </w:footnotePr>
          <w:pgSz w:w="11906" w:h="16838"/>
          <w:pgMar w:top="1440" w:right="1080" w:bottom="1440" w:left="1080" w:header="851" w:footer="992" w:gutter="0"/>
          <w:pgNumType w:start="1"/>
          <w:cols w:space="1701" w:num="1"/>
          <w:docGrid w:linePitch="360" w:charSpace="0"/>
        </w:sectPr>
      </w:pPr>
      <w:bookmarkStart w:id="22" w:name="_Toc120614210"/>
    </w:p>
    <w:p w14:paraId="660C7A45">
      <w:pPr>
        <w:pageBreakBefore/>
        <w:spacing w:before="200" w:after="120"/>
        <w:ind w:firstLine="0"/>
        <w:jc w:val="center"/>
        <w:rPr>
          <w:rFonts w:ascii="Arial" w:hAnsi="宋体" w:eastAsia="黑体" w:cs="Arial"/>
          <w:sz w:val="24"/>
        </w:rPr>
      </w:pPr>
      <w:r>
        <w:rPr>
          <w:rFonts w:hint="eastAsia" w:ascii="宋体" w:hAnsi="宋体" w:cs="宋体"/>
          <w:b/>
          <w:bCs/>
          <w:sz w:val="44"/>
          <w:szCs w:val="44"/>
        </w:rPr>
        <w:t>总  目  录</w:t>
      </w:r>
    </w:p>
    <w:p w14:paraId="748833CD">
      <w:pPr>
        <w:tabs>
          <w:tab w:val="left" w:pos="1440"/>
        </w:tabs>
        <w:ind w:firstLine="562"/>
      </w:pPr>
      <w:r>
        <w:rPr>
          <w:rFonts w:hint="eastAsia" w:ascii="仿宋_GB2312" w:eastAsia="仿宋_GB2312"/>
          <w:b/>
          <w:bCs/>
          <w:sz w:val="28"/>
          <w:szCs w:val="28"/>
        </w:rPr>
        <w:t> </w:t>
      </w:r>
    </w:p>
    <w:sdt>
      <w:sdtPr>
        <w:rPr>
          <w:rFonts w:ascii="宋体" w:hAnsi="宋体"/>
        </w:rPr>
        <w:id w:val="147471572"/>
        <w15:color w:val="DBDBDB"/>
        <w:docPartObj>
          <w:docPartGallery w:val="Table of Contents"/>
          <w:docPartUnique/>
        </w:docPartObj>
      </w:sdtPr>
      <w:sdtEndPr>
        <w:rPr>
          <w:rFonts w:ascii="宋体" w:hAnsi="宋体"/>
        </w:rPr>
      </w:sdtEndPr>
      <w:sdtContent>
        <w:p w14:paraId="5F06362A">
          <w:pPr>
            <w:spacing w:line="240" w:lineRule="auto"/>
            <w:ind w:firstLine="0"/>
            <w:jc w:val="center"/>
          </w:pPr>
        </w:p>
        <w:p w14:paraId="728E77AB">
          <w:pPr>
            <w:pStyle w:val="229"/>
            <w:tabs>
              <w:tab w:val="right" w:leader="dot" w:pos="9746"/>
            </w:tabs>
            <w:spacing w:line="480" w:lineRule="auto"/>
            <w:rPr>
              <w:rFonts w:ascii="宋体" w:hAnsi="宋体" w:cs="宋体"/>
              <w:sz w:val="28"/>
              <w:szCs w:val="36"/>
            </w:rPr>
          </w:pPr>
          <w:r>
            <w:fldChar w:fldCharType="begin"/>
          </w:r>
          <w:r>
            <w:instrText xml:space="preserve">TOC \o "1-1" \h \u </w:instrText>
          </w:r>
          <w:r>
            <w:fldChar w:fldCharType="separate"/>
          </w:r>
          <w:r>
            <w:fldChar w:fldCharType="begin"/>
          </w:r>
          <w:r>
            <w:instrText xml:space="preserve"> HYPERLINK \l "_Toc9618" </w:instrText>
          </w:r>
          <w:r>
            <w:fldChar w:fldCharType="separate"/>
          </w:r>
          <w:r>
            <w:rPr>
              <w:rFonts w:hint="eastAsia" w:ascii="宋体" w:hAnsi="宋体" w:cs="宋体"/>
              <w:sz w:val="28"/>
              <w:szCs w:val="36"/>
            </w:rPr>
            <w:t>第一章 投标邀请</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_Toc9618 \h </w:instrText>
          </w:r>
          <w:r>
            <w:rPr>
              <w:rFonts w:hint="eastAsia" w:ascii="宋体" w:hAnsi="宋体" w:cs="宋体"/>
              <w:sz w:val="28"/>
              <w:szCs w:val="36"/>
            </w:rPr>
            <w:fldChar w:fldCharType="separate"/>
          </w:r>
          <w:r>
            <w:rPr>
              <w:rFonts w:hint="eastAsia" w:ascii="宋体" w:hAnsi="宋体" w:cs="宋体"/>
              <w:sz w:val="28"/>
              <w:szCs w:val="36"/>
            </w:rPr>
            <w:t>1</w:t>
          </w:r>
          <w:r>
            <w:rPr>
              <w:rFonts w:hint="eastAsia" w:ascii="宋体" w:hAnsi="宋体" w:cs="宋体"/>
              <w:sz w:val="28"/>
              <w:szCs w:val="36"/>
            </w:rPr>
            <w:fldChar w:fldCharType="end"/>
          </w:r>
          <w:r>
            <w:rPr>
              <w:rFonts w:hint="eastAsia" w:ascii="宋体" w:hAnsi="宋体" w:cs="宋体"/>
              <w:sz w:val="28"/>
              <w:szCs w:val="36"/>
            </w:rPr>
            <w:fldChar w:fldCharType="end"/>
          </w:r>
        </w:p>
        <w:p w14:paraId="27726F98">
          <w:pPr>
            <w:pStyle w:val="229"/>
            <w:tabs>
              <w:tab w:val="right" w:leader="dot" w:pos="9746"/>
            </w:tabs>
            <w:spacing w:line="480" w:lineRule="auto"/>
            <w:rPr>
              <w:rFonts w:ascii="宋体" w:hAnsi="宋体" w:cs="宋体"/>
              <w:sz w:val="28"/>
              <w:szCs w:val="36"/>
            </w:rPr>
          </w:pPr>
          <w:r>
            <w:fldChar w:fldCharType="begin"/>
          </w:r>
          <w:r>
            <w:instrText xml:space="preserve"> HYPERLINK \l "_Toc13899" </w:instrText>
          </w:r>
          <w:r>
            <w:fldChar w:fldCharType="separate"/>
          </w:r>
          <w:r>
            <w:rPr>
              <w:rFonts w:hint="eastAsia" w:ascii="宋体" w:hAnsi="宋体" w:cs="宋体"/>
              <w:sz w:val="28"/>
              <w:szCs w:val="36"/>
            </w:rPr>
            <w:t>第二章 投标人须知</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_Toc13899 \h </w:instrText>
          </w:r>
          <w:r>
            <w:rPr>
              <w:rFonts w:hint="eastAsia" w:ascii="宋体" w:hAnsi="宋体" w:cs="宋体"/>
              <w:sz w:val="28"/>
              <w:szCs w:val="36"/>
            </w:rPr>
            <w:fldChar w:fldCharType="separate"/>
          </w:r>
          <w:r>
            <w:rPr>
              <w:rFonts w:hint="eastAsia" w:ascii="宋体" w:hAnsi="宋体" w:cs="宋体"/>
              <w:sz w:val="28"/>
              <w:szCs w:val="36"/>
            </w:rPr>
            <w:t>4</w:t>
          </w:r>
          <w:r>
            <w:rPr>
              <w:rFonts w:hint="eastAsia" w:ascii="宋体" w:hAnsi="宋体" w:cs="宋体"/>
              <w:sz w:val="28"/>
              <w:szCs w:val="36"/>
            </w:rPr>
            <w:fldChar w:fldCharType="end"/>
          </w:r>
          <w:r>
            <w:rPr>
              <w:rFonts w:hint="eastAsia" w:ascii="宋体" w:hAnsi="宋体" w:cs="宋体"/>
              <w:sz w:val="28"/>
              <w:szCs w:val="36"/>
            </w:rPr>
            <w:fldChar w:fldCharType="end"/>
          </w:r>
        </w:p>
        <w:p w14:paraId="77D69C7F">
          <w:pPr>
            <w:pStyle w:val="229"/>
            <w:tabs>
              <w:tab w:val="right" w:leader="dot" w:pos="9746"/>
            </w:tabs>
            <w:spacing w:line="480" w:lineRule="auto"/>
            <w:rPr>
              <w:rFonts w:ascii="宋体" w:hAnsi="宋体" w:cs="宋体"/>
              <w:sz w:val="28"/>
              <w:szCs w:val="36"/>
            </w:rPr>
          </w:pPr>
          <w:r>
            <w:fldChar w:fldCharType="begin"/>
          </w:r>
          <w:r>
            <w:instrText xml:space="preserve"> HYPERLINK \l "_Toc28500" </w:instrText>
          </w:r>
          <w:r>
            <w:fldChar w:fldCharType="separate"/>
          </w:r>
          <w:r>
            <w:rPr>
              <w:rFonts w:hint="eastAsia" w:ascii="宋体" w:hAnsi="宋体" w:cs="宋体"/>
              <w:sz w:val="28"/>
              <w:szCs w:val="36"/>
            </w:rPr>
            <w:t>第三章 合同条款及格式</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_Toc28500 \h </w:instrText>
          </w:r>
          <w:r>
            <w:rPr>
              <w:rFonts w:hint="eastAsia" w:ascii="宋体" w:hAnsi="宋体" w:cs="宋体"/>
              <w:sz w:val="28"/>
              <w:szCs w:val="36"/>
            </w:rPr>
            <w:fldChar w:fldCharType="separate"/>
          </w:r>
          <w:r>
            <w:rPr>
              <w:rFonts w:hint="eastAsia" w:ascii="宋体" w:hAnsi="宋体" w:cs="宋体"/>
              <w:sz w:val="28"/>
              <w:szCs w:val="36"/>
            </w:rPr>
            <w:t>14</w:t>
          </w:r>
          <w:r>
            <w:rPr>
              <w:rFonts w:hint="eastAsia" w:ascii="宋体" w:hAnsi="宋体" w:cs="宋体"/>
              <w:sz w:val="28"/>
              <w:szCs w:val="36"/>
            </w:rPr>
            <w:fldChar w:fldCharType="end"/>
          </w:r>
          <w:r>
            <w:rPr>
              <w:rFonts w:hint="eastAsia" w:ascii="宋体" w:hAnsi="宋体" w:cs="宋体"/>
              <w:sz w:val="28"/>
              <w:szCs w:val="36"/>
            </w:rPr>
            <w:fldChar w:fldCharType="end"/>
          </w:r>
        </w:p>
        <w:p w14:paraId="6FDBEDDE">
          <w:pPr>
            <w:pStyle w:val="229"/>
            <w:tabs>
              <w:tab w:val="right" w:leader="dot" w:pos="9746"/>
            </w:tabs>
            <w:spacing w:line="480" w:lineRule="auto"/>
            <w:rPr>
              <w:rFonts w:ascii="宋体" w:hAnsi="宋体" w:cs="宋体"/>
              <w:sz w:val="28"/>
              <w:szCs w:val="36"/>
            </w:rPr>
          </w:pPr>
          <w:r>
            <w:fldChar w:fldCharType="begin"/>
          </w:r>
          <w:r>
            <w:instrText xml:space="preserve"> HYPERLINK \l "_Toc3084" </w:instrText>
          </w:r>
          <w:r>
            <w:fldChar w:fldCharType="separate"/>
          </w:r>
          <w:r>
            <w:rPr>
              <w:rFonts w:hint="eastAsia" w:ascii="宋体" w:hAnsi="宋体" w:cs="宋体"/>
              <w:sz w:val="28"/>
              <w:szCs w:val="36"/>
            </w:rPr>
            <w:t>第四章 项目需求</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_Toc3084 \h </w:instrText>
          </w:r>
          <w:r>
            <w:rPr>
              <w:rFonts w:hint="eastAsia" w:ascii="宋体" w:hAnsi="宋体" w:cs="宋体"/>
              <w:sz w:val="28"/>
              <w:szCs w:val="36"/>
            </w:rPr>
            <w:fldChar w:fldCharType="separate"/>
          </w:r>
          <w:r>
            <w:rPr>
              <w:rFonts w:hint="eastAsia" w:ascii="宋体" w:hAnsi="宋体" w:cs="宋体"/>
              <w:sz w:val="28"/>
              <w:szCs w:val="36"/>
            </w:rPr>
            <w:t>18</w:t>
          </w:r>
          <w:r>
            <w:rPr>
              <w:rFonts w:hint="eastAsia" w:ascii="宋体" w:hAnsi="宋体" w:cs="宋体"/>
              <w:sz w:val="28"/>
              <w:szCs w:val="36"/>
            </w:rPr>
            <w:fldChar w:fldCharType="end"/>
          </w:r>
          <w:r>
            <w:rPr>
              <w:rFonts w:hint="eastAsia" w:ascii="宋体" w:hAnsi="宋体" w:cs="宋体"/>
              <w:sz w:val="28"/>
              <w:szCs w:val="36"/>
            </w:rPr>
            <w:fldChar w:fldCharType="end"/>
          </w:r>
        </w:p>
        <w:p w14:paraId="11104770">
          <w:pPr>
            <w:pStyle w:val="229"/>
            <w:tabs>
              <w:tab w:val="right" w:leader="dot" w:pos="9746"/>
            </w:tabs>
            <w:spacing w:line="480" w:lineRule="auto"/>
            <w:rPr>
              <w:rFonts w:ascii="宋体" w:hAnsi="宋体" w:cs="宋体"/>
              <w:sz w:val="28"/>
              <w:szCs w:val="36"/>
            </w:rPr>
          </w:pPr>
          <w:r>
            <w:fldChar w:fldCharType="begin"/>
          </w:r>
          <w:r>
            <w:instrText xml:space="preserve"> HYPERLINK \l "_Toc533" </w:instrText>
          </w:r>
          <w:r>
            <w:fldChar w:fldCharType="separate"/>
          </w:r>
          <w:r>
            <w:rPr>
              <w:rFonts w:hint="eastAsia" w:ascii="宋体" w:hAnsi="宋体" w:cs="宋体"/>
              <w:sz w:val="28"/>
              <w:szCs w:val="36"/>
            </w:rPr>
            <w:t>第五章 评标方法与评标标准</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_Toc533 \h </w:instrText>
          </w:r>
          <w:r>
            <w:rPr>
              <w:rFonts w:hint="eastAsia" w:ascii="宋体" w:hAnsi="宋体" w:cs="宋体"/>
              <w:sz w:val="28"/>
              <w:szCs w:val="36"/>
            </w:rPr>
            <w:fldChar w:fldCharType="separate"/>
          </w:r>
          <w:r>
            <w:rPr>
              <w:rFonts w:hint="eastAsia" w:ascii="宋体" w:hAnsi="宋体" w:cs="宋体"/>
              <w:sz w:val="28"/>
              <w:szCs w:val="36"/>
            </w:rPr>
            <w:t>35</w:t>
          </w:r>
          <w:r>
            <w:rPr>
              <w:rFonts w:hint="eastAsia" w:ascii="宋体" w:hAnsi="宋体" w:cs="宋体"/>
              <w:sz w:val="28"/>
              <w:szCs w:val="36"/>
            </w:rPr>
            <w:fldChar w:fldCharType="end"/>
          </w:r>
          <w:r>
            <w:rPr>
              <w:rFonts w:hint="eastAsia" w:ascii="宋体" w:hAnsi="宋体" w:cs="宋体"/>
              <w:sz w:val="28"/>
              <w:szCs w:val="36"/>
            </w:rPr>
            <w:fldChar w:fldCharType="end"/>
          </w:r>
        </w:p>
        <w:p w14:paraId="2F09F38C">
          <w:pPr>
            <w:pStyle w:val="229"/>
            <w:tabs>
              <w:tab w:val="right" w:leader="dot" w:pos="9746"/>
            </w:tabs>
            <w:spacing w:line="480" w:lineRule="auto"/>
          </w:pPr>
          <w:r>
            <w:fldChar w:fldCharType="begin"/>
          </w:r>
          <w:r>
            <w:instrText xml:space="preserve"> HYPERLINK \l "_Toc4186" </w:instrText>
          </w:r>
          <w:r>
            <w:fldChar w:fldCharType="separate"/>
          </w:r>
          <w:r>
            <w:rPr>
              <w:rFonts w:hint="eastAsia" w:ascii="宋体" w:hAnsi="宋体" w:cs="宋体"/>
              <w:sz w:val="28"/>
              <w:szCs w:val="36"/>
            </w:rPr>
            <w:t>第六章 投标文件格式</w:t>
          </w:r>
          <w:r>
            <w:rPr>
              <w:rFonts w:hint="eastAsia" w:ascii="宋体" w:hAnsi="宋体" w:cs="宋体"/>
              <w:sz w:val="28"/>
              <w:szCs w:val="36"/>
            </w:rPr>
            <w:tab/>
          </w:r>
          <w:r>
            <w:rPr>
              <w:rFonts w:hint="eastAsia" w:ascii="宋体" w:hAnsi="宋体" w:cs="宋体"/>
              <w:sz w:val="28"/>
              <w:szCs w:val="36"/>
            </w:rPr>
            <w:fldChar w:fldCharType="begin"/>
          </w:r>
          <w:r>
            <w:rPr>
              <w:rFonts w:hint="eastAsia" w:ascii="宋体" w:hAnsi="宋体" w:cs="宋体"/>
              <w:sz w:val="28"/>
              <w:szCs w:val="36"/>
            </w:rPr>
            <w:instrText xml:space="preserve"> PAGEREF _Toc4186 \h </w:instrText>
          </w:r>
          <w:r>
            <w:rPr>
              <w:rFonts w:hint="eastAsia" w:ascii="宋体" w:hAnsi="宋体" w:cs="宋体"/>
              <w:sz w:val="28"/>
              <w:szCs w:val="36"/>
            </w:rPr>
            <w:fldChar w:fldCharType="separate"/>
          </w:r>
          <w:r>
            <w:rPr>
              <w:rFonts w:hint="eastAsia" w:ascii="宋体" w:hAnsi="宋体" w:cs="宋体"/>
              <w:sz w:val="28"/>
              <w:szCs w:val="36"/>
            </w:rPr>
            <w:t>38</w:t>
          </w:r>
          <w:r>
            <w:rPr>
              <w:rFonts w:hint="eastAsia" w:ascii="宋体" w:hAnsi="宋体" w:cs="宋体"/>
              <w:sz w:val="28"/>
              <w:szCs w:val="36"/>
            </w:rPr>
            <w:fldChar w:fldCharType="end"/>
          </w:r>
          <w:r>
            <w:rPr>
              <w:rFonts w:hint="eastAsia" w:ascii="宋体" w:hAnsi="宋体" w:cs="宋体"/>
              <w:sz w:val="28"/>
              <w:szCs w:val="36"/>
            </w:rPr>
            <w:fldChar w:fldCharType="end"/>
          </w:r>
        </w:p>
        <w:p w14:paraId="4B71532B">
          <w:pPr>
            <w:spacing w:line="480" w:lineRule="auto"/>
          </w:pPr>
          <w:r>
            <w:fldChar w:fldCharType="end"/>
          </w:r>
        </w:p>
      </w:sdtContent>
    </w:sdt>
    <w:p w14:paraId="5519B732"/>
    <w:p w14:paraId="3B752EF1">
      <w:pPr>
        <w:spacing w:line="480" w:lineRule="auto"/>
        <w:ind w:firstLine="723"/>
        <w:rPr>
          <w:rFonts w:ascii="黑体" w:hAnsi="黑体" w:eastAsia="黑体" w:cs="黑体"/>
          <w:b/>
          <w:sz w:val="24"/>
        </w:rPr>
      </w:pPr>
      <w:r>
        <w:rPr>
          <w:rFonts w:hint="eastAsia" w:ascii="黑体" w:hAnsi="黑体" w:eastAsia="黑体" w:cs="黑体"/>
          <w:b/>
          <w:sz w:val="24"/>
        </w:rPr>
        <w:t xml:space="preserve">     </w:t>
      </w:r>
    </w:p>
    <w:p w14:paraId="61876977">
      <w:pPr>
        <w:spacing w:line="480" w:lineRule="auto"/>
        <w:ind w:firstLine="0"/>
      </w:pPr>
    </w:p>
    <w:p w14:paraId="5A6351C0">
      <w:pPr>
        <w:ind w:firstLine="723"/>
        <w:rPr>
          <w:rFonts w:ascii="黑体" w:hAnsi="黑体" w:eastAsia="黑体" w:cs="黑体"/>
          <w:sz w:val="24"/>
        </w:rPr>
      </w:pPr>
      <w:r>
        <w:rPr>
          <w:rFonts w:hint="eastAsia" w:ascii="黑体" w:hAnsi="黑体" w:eastAsia="黑体" w:cs="黑体"/>
          <w:b/>
          <w:sz w:val="24"/>
        </w:rPr>
        <w:t xml:space="preserve"> </w:t>
      </w:r>
    </w:p>
    <w:p w14:paraId="2CC377B3">
      <w:pPr>
        <w:ind w:firstLine="723"/>
        <w:rPr>
          <w:rFonts w:hAnsi="宋体"/>
          <w:sz w:val="24"/>
        </w:rPr>
      </w:pPr>
      <w:r>
        <w:rPr>
          <w:rFonts w:hint="eastAsia"/>
          <w:b/>
          <w:sz w:val="24"/>
        </w:rPr>
        <w:t xml:space="preserve">     </w:t>
      </w:r>
      <w:bookmarkEnd w:id="22"/>
    </w:p>
    <w:p w14:paraId="7FC812CB">
      <w:pPr>
        <w:ind w:firstLine="420"/>
        <w:rPr>
          <w:rFonts w:hAnsi="宋体"/>
          <w:szCs w:val="21"/>
        </w:rPr>
      </w:pPr>
    </w:p>
    <w:p w14:paraId="1469BBFB">
      <w:pPr>
        <w:ind w:firstLine="420"/>
        <w:rPr>
          <w:rFonts w:hAnsi="宋体"/>
          <w:szCs w:val="21"/>
        </w:rPr>
      </w:pPr>
    </w:p>
    <w:p w14:paraId="60EAED56">
      <w:pPr>
        <w:ind w:firstLine="199"/>
        <w:rPr>
          <w:rFonts w:hAnsi="宋体"/>
          <w:szCs w:val="21"/>
        </w:rPr>
        <w:sectPr>
          <w:footerReference r:id="rId8" w:type="default"/>
          <w:footnotePr>
            <w:numFmt w:val="decimalEnclosedCircleChinese"/>
          </w:footnotePr>
          <w:pgSz w:w="11906" w:h="16838"/>
          <w:pgMar w:top="1440" w:right="1080" w:bottom="1440" w:left="1080" w:header="851" w:footer="992" w:gutter="0"/>
          <w:pgNumType w:start="1"/>
          <w:cols w:space="1701" w:num="1"/>
          <w:docGrid w:linePitch="360" w:charSpace="0"/>
        </w:sectPr>
      </w:pPr>
    </w:p>
    <w:p w14:paraId="306A83CE">
      <w:pPr>
        <w:pageBreakBefore/>
        <w:numPr>
          <w:ilvl w:val="0"/>
          <w:numId w:val="2"/>
        </w:numPr>
        <w:spacing w:after="20" w:line="480" w:lineRule="exact"/>
        <w:jc w:val="center"/>
        <w:outlineLvl w:val="0"/>
        <w:rPr>
          <w:rFonts w:ascii="宋体" w:hAnsi="宋体" w:cs="宋体"/>
          <w:b/>
          <w:bCs/>
          <w:sz w:val="32"/>
          <w:szCs w:val="32"/>
        </w:rPr>
      </w:pPr>
      <w:bookmarkStart w:id="23" w:name="_Toc25300"/>
      <w:bookmarkStart w:id="24" w:name="_Toc23092"/>
      <w:bookmarkStart w:id="25" w:name="_Toc3895"/>
      <w:bookmarkStart w:id="26" w:name="_Toc31221"/>
      <w:bookmarkStart w:id="27" w:name="_Toc9618"/>
      <w:bookmarkStart w:id="28" w:name="_Toc17527"/>
      <w:bookmarkStart w:id="29" w:name="_Toc789"/>
      <w:r>
        <w:rPr>
          <w:rFonts w:hint="eastAsia" w:ascii="宋体" w:hAnsi="宋体" w:cs="宋体"/>
          <w:b/>
          <w:bCs/>
          <w:sz w:val="32"/>
          <w:szCs w:val="32"/>
        </w:rPr>
        <w:t>投标邀请</w:t>
      </w:r>
      <w:bookmarkEnd w:id="23"/>
      <w:bookmarkEnd w:id="24"/>
      <w:bookmarkEnd w:id="25"/>
      <w:bookmarkEnd w:id="26"/>
      <w:bookmarkEnd w:id="27"/>
      <w:bookmarkEnd w:id="28"/>
      <w:bookmarkEnd w:id="29"/>
    </w:p>
    <w:p w14:paraId="14CC1191">
      <w:pPr>
        <w:spacing w:line="400" w:lineRule="exact"/>
        <w:ind w:firstLine="480"/>
      </w:pPr>
      <w:bookmarkStart w:id="30" w:name="OLE_LINK1"/>
      <w:r>
        <w:rPr>
          <w:rFonts w:hint="eastAsia" w:ascii="宋体" w:hAnsi="宋体" w:cs="宋体"/>
          <w:sz w:val="24"/>
        </w:rPr>
        <w:t>张家港市锦丰镇人民政府</w:t>
      </w:r>
      <w:bookmarkEnd w:id="30"/>
      <w:r>
        <w:rPr>
          <w:rFonts w:hint="eastAsia" w:ascii="宋体" w:hAnsi="宋体" w:cs="宋体"/>
          <w:sz w:val="24"/>
        </w:rPr>
        <w:t>的潜在投标人应在“苏采云政府采购一体化平台”中参与本项目并下载获取电子招标文件，并于2025年</w:t>
      </w:r>
      <w:r>
        <w:rPr>
          <w:rFonts w:hint="eastAsia" w:ascii="宋体" w:hAnsi="宋体" w:cs="宋体"/>
          <w:sz w:val="24"/>
          <w:lang w:val="en-US" w:eastAsia="zh-CN"/>
        </w:rPr>
        <w:t>12</w:t>
      </w:r>
      <w:r>
        <w:rPr>
          <w:rFonts w:hint="eastAsia" w:ascii="宋体" w:hAnsi="宋体" w:cs="宋体"/>
          <w:sz w:val="24"/>
        </w:rPr>
        <w:t>月</w:t>
      </w:r>
      <w:r>
        <w:rPr>
          <w:rFonts w:hint="eastAsia" w:ascii="宋体" w:hAnsi="宋体" w:cs="宋体"/>
          <w:sz w:val="24"/>
          <w:lang w:val="en-US" w:eastAsia="zh-CN"/>
        </w:rPr>
        <w:t>04</w:t>
      </w:r>
      <w:r>
        <w:rPr>
          <w:rFonts w:hint="eastAsia" w:ascii="宋体" w:hAnsi="宋体" w:cs="宋体"/>
          <w:sz w:val="24"/>
        </w:rPr>
        <w:t>日13:30（北京时间）前上传电子投标文件。</w:t>
      </w:r>
    </w:p>
    <w:p w14:paraId="41A9F2D1">
      <w:pPr>
        <w:numPr>
          <w:ilvl w:val="0"/>
          <w:numId w:val="3"/>
        </w:numPr>
        <w:spacing w:line="400" w:lineRule="exact"/>
        <w:ind w:firstLine="0"/>
        <w:outlineLvl w:val="1"/>
        <w:rPr>
          <w:rFonts w:ascii="宋体" w:hAnsi="宋体" w:cs="宋体"/>
          <w:b/>
          <w:bCs/>
          <w:sz w:val="24"/>
        </w:rPr>
      </w:pPr>
      <w:bookmarkStart w:id="31" w:name="_Toc19500"/>
      <w:bookmarkStart w:id="32" w:name="_Toc22623"/>
      <w:bookmarkStart w:id="33" w:name="_Toc1246"/>
      <w:r>
        <w:rPr>
          <w:rFonts w:hint="eastAsia" w:ascii="宋体" w:hAnsi="宋体" w:cs="宋体"/>
          <w:b/>
          <w:bCs/>
          <w:sz w:val="24"/>
        </w:rPr>
        <w:t>项目概况</w:t>
      </w:r>
      <w:bookmarkEnd w:id="31"/>
      <w:bookmarkEnd w:id="32"/>
      <w:bookmarkEnd w:id="33"/>
    </w:p>
    <w:p w14:paraId="2D77593B">
      <w:pPr>
        <w:spacing w:line="400" w:lineRule="exact"/>
        <w:ind w:firstLine="480"/>
        <w:jc w:val="left"/>
        <w:rPr>
          <w:rFonts w:ascii="宋体" w:hAnsi="宋体" w:cs="宋体"/>
          <w:color w:val="000000"/>
          <w:sz w:val="24"/>
        </w:rPr>
      </w:pPr>
      <w:r>
        <w:rPr>
          <w:rFonts w:hint="eastAsia" w:ascii="宋体" w:hAnsi="宋体" w:cs="宋体"/>
          <w:color w:val="000000"/>
          <w:sz w:val="24"/>
        </w:rPr>
        <w:t>项目名称：2025年锦丰镇“苏安充”项目</w:t>
      </w:r>
    </w:p>
    <w:p w14:paraId="57D6F41A">
      <w:pPr>
        <w:spacing w:line="400" w:lineRule="exact"/>
        <w:ind w:firstLine="480"/>
        <w:jc w:val="left"/>
        <w:rPr>
          <w:rFonts w:ascii="宋体" w:hAnsi="宋体" w:cs="宋体"/>
          <w:color w:val="000000"/>
          <w:sz w:val="24"/>
        </w:rPr>
      </w:pPr>
      <w:r>
        <w:rPr>
          <w:rFonts w:hint="eastAsia" w:ascii="宋体" w:hAnsi="宋体" w:cs="宋体"/>
          <w:color w:val="000000"/>
          <w:sz w:val="24"/>
        </w:rPr>
        <w:t>项目编号：JSZC-320582-XDZX-G2025-0013</w:t>
      </w:r>
    </w:p>
    <w:p w14:paraId="1E2A5FF9">
      <w:pPr>
        <w:spacing w:line="400" w:lineRule="exact"/>
        <w:ind w:firstLine="480"/>
        <w:jc w:val="left"/>
        <w:rPr>
          <w:rFonts w:ascii="宋体" w:hAnsi="宋体" w:cs="宋体"/>
          <w:color w:val="000000"/>
          <w:sz w:val="24"/>
        </w:rPr>
      </w:pPr>
      <w:r>
        <w:rPr>
          <w:rFonts w:hint="eastAsia" w:ascii="宋体" w:hAnsi="宋体" w:cs="宋体"/>
          <w:color w:val="000000"/>
          <w:sz w:val="24"/>
        </w:rPr>
        <w:t>预算金额：1600000元。</w:t>
      </w:r>
    </w:p>
    <w:p w14:paraId="0DEDB30F">
      <w:pPr>
        <w:spacing w:line="400" w:lineRule="exact"/>
        <w:ind w:firstLine="480"/>
        <w:jc w:val="left"/>
        <w:rPr>
          <w:rFonts w:ascii="宋体" w:hAnsi="宋体" w:cs="宋体"/>
          <w:color w:val="000000"/>
          <w:sz w:val="24"/>
        </w:rPr>
      </w:pPr>
      <w:r>
        <w:rPr>
          <w:rFonts w:hint="eastAsia" w:ascii="宋体" w:hAnsi="宋体" w:cs="宋体"/>
          <w:color w:val="000000"/>
          <w:sz w:val="24"/>
        </w:rPr>
        <w:t>最高限价：1400000元。</w:t>
      </w:r>
    </w:p>
    <w:p w14:paraId="2F4B2A7E">
      <w:pPr>
        <w:pStyle w:val="14"/>
        <w:ind w:firstLine="468" w:firstLineChars="195"/>
        <w:rPr>
          <w:rFonts w:ascii="宋体" w:hAnsi="宋体"/>
          <w:sz w:val="24"/>
        </w:rPr>
      </w:pPr>
      <w:r>
        <w:rPr>
          <w:rFonts w:hint="eastAsia" w:ascii="宋体" w:hAnsi="宋体"/>
          <w:sz w:val="24"/>
        </w:rPr>
        <w:t>采购需求：根据《2025年苏州市民生实事项目“苏安充”工程实事方案》要求，在2025年底前确保所有拆迁安置小区内，电动自行车充电桩消防“新三件套”（消防长沟、锂电池灭火器及智能AI探头）和地下车库推车式锂电池灭火器及灭火毯安装覆盖率达100%。通过公开招标的方式，对部分原有充电桩和所有地下汽车库进行提档升级。</w:t>
      </w:r>
    </w:p>
    <w:p w14:paraId="03F02EC8">
      <w:pPr>
        <w:pStyle w:val="248"/>
        <w:spacing w:line="440" w:lineRule="exact"/>
        <w:ind w:firstLine="480" w:firstLineChars="200"/>
        <w:rPr>
          <w:rFonts w:ascii="宋体" w:hAnsi="宋体" w:eastAsia="宋体"/>
        </w:rPr>
      </w:pPr>
      <w:r>
        <w:rPr>
          <w:rFonts w:hint="eastAsia" w:ascii="宋体" w:hAnsi="宋体" w:eastAsia="宋体"/>
        </w:rPr>
        <w:t>合同履行期限：</w:t>
      </w:r>
      <w:bookmarkStart w:id="34" w:name="OLE_LINK20"/>
      <w:r>
        <w:rPr>
          <w:rFonts w:hint="eastAsia" w:ascii="宋体" w:hAnsi="宋体" w:eastAsia="宋体"/>
        </w:rPr>
        <w:t>合同签订后</w:t>
      </w:r>
      <w:r>
        <w:rPr>
          <w:rFonts w:hint="eastAsia" w:ascii="宋体" w:hAnsi="宋体" w:eastAsia="宋体"/>
          <w:lang w:val="en-US" w:eastAsia="zh-CN"/>
        </w:rPr>
        <w:t>45</w:t>
      </w:r>
      <w:r>
        <w:rPr>
          <w:rFonts w:hint="eastAsia" w:ascii="宋体" w:hAnsi="宋体" w:eastAsia="宋体"/>
        </w:rPr>
        <w:t>个日历日内完成本项目建设并验收合格。</w:t>
      </w:r>
    </w:p>
    <w:bookmarkEnd w:id="34"/>
    <w:p w14:paraId="3F0AAA25">
      <w:pPr>
        <w:numPr>
          <w:ilvl w:val="0"/>
          <w:numId w:val="3"/>
        </w:numPr>
        <w:spacing w:line="400" w:lineRule="exact"/>
        <w:ind w:firstLine="0"/>
        <w:outlineLvl w:val="1"/>
        <w:rPr>
          <w:rFonts w:ascii="宋体" w:hAnsi="宋体" w:cs="宋体"/>
          <w:b/>
          <w:bCs/>
          <w:sz w:val="24"/>
        </w:rPr>
      </w:pPr>
      <w:bookmarkStart w:id="35" w:name="_Toc23113"/>
      <w:bookmarkStart w:id="36" w:name="_Toc7697"/>
      <w:bookmarkStart w:id="37" w:name="_Toc3044"/>
      <w:r>
        <w:rPr>
          <w:rFonts w:hint="eastAsia" w:ascii="宋体" w:hAnsi="宋体" w:cs="宋体"/>
          <w:b/>
          <w:bCs/>
          <w:sz w:val="24"/>
        </w:rPr>
        <w:t>供应商资格要求</w:t>
      </w:r>
      <w:bookmarkEnd w:id="35"/>
      <w:bookmarkEnd w:id="36"/>
      <w:bookmarkEnd w:id="37"/>
    </w:p>
    <w:p w14:paraId="3D47BD5F">
      <w:pPr>
        <w:pStyle w:val="2"/>
        <w:spacing w:line="400" w:lineRule="exact"/>
        <w:ind w:left="480" w:firstLine="0"/>
        <w:rPr>
          <w:rFonts w:cs="宋体"/>
        </w:rPr>
      </w:pPr>
      <w:r>
        <w:rPr>
          <w:rFonts w:hint="eastAsia"/>
        </w:rPr>
        <w:t>1.满足《中华人民共和国政府采购法》第二十二条规定；</w:t>
      </w:r>
    </w:p>
    <w:p w14:paraId="3BBDC619">
      <w:pPr>
        <w:pStyle w:val="2"/>
        <w:spacing w:line="400" w:lineRule="exact"/>
        <w:ind w:left="480" w:firstLine="0"/>
      </w:pPr>
      <w:r>
        <w:rPr>
          <w:rFonts w:hint="eastAsia"/>
        </w:rPr>
        <w:t>2.落实政府采购政策需满足的资格要求：</w:t>
      </w:r>
    </w:p>
    <w:p w14:paraId="06C0679A">
      <w:pPr>
        <w:pStyle w:val="2"/>
        <w:spacing w:line="400" w:lineRule="exact"/>
        <w:ind w:left="480" w:firstLine="0"/>
        <w:rPr>
          <w:rFonts w:cs="宋体"/>
        </w:rPr>
      </w:pPr>
      <w:r>
        <w:rPr>
          <w:rFonts w:hint="eastAsia" w:cs="宋体"/>
        </w:rPr>
        <w:t>（1）本项目专门面向中小企业采购。</w:t>
      </w:r>
    </w:p>
    <w:p w14:paraId="27672064">
      <w:pPr>
        <w:widowControl/>
        <w:ind w:firstLine="480"/>
        <w:jc w:val="left"/>
        <w:rPr>
          <w:rFonts w:ascii="宋体" w:hAnsi="宋体" w:cs="宋体"/>
          <w:sz w:val="24"/>
        </w:rPr>
      </w:pPr>
      <w:r>
        <w:rPr>
          <w:rFonts w:hint="eastAsia" w:ascii="宋体" w:hAnsi="宋体" w:cs="宋体"/>
          <w:sz w:val="24"/>
        </w:rPr>
        <w:t>注：</w:t>
      </w:r>
    </w:p>
    <w:p w14:paraId="2B0E4267">
      <w:pPr>
        <w:widowControl/>
        <w:ind w:firstLine="480"/>
        <w:jc w:val="left"/>
        <w:rPr>
          <w:rFonts w:ascii="宋体" w:hAnsi="宋体" w:cs="宋体"/>
          <w:sz w:val="24"/>
        </w:rPr>
      </w:pPr>
      <w:r>
        <w:rPr>
          <w:rFonts w:hint="eastAsia" w:ascii="宋体" w:hAnsi="宋体" w:cs="宋体"/>
          <w:sz w:val="24"/>
        </w:rPr>
        <w:t>1)根据《关于促进残疾人就业政府采购政策的通知》（财库〔2017〕141号）的通知规定，在政府采购活动中，残疾人福利性单位视同小型、微型企业。</w:t>
      </w:r>
    </w:p>
    <w:p w14:paraId="2DCAC6BF">
      <w:pPr>
        <w:widowControl/>
        <w:ind w:firstLine="480"/>
        <w:jc w:val="left"/>
        <w:rPr>
          <w:rFonts w:ascii="宋体" w:hAnsi="宋体" w:cs="宋体"/>
          <w:sz w:val="24"/>
        </w:rPr>
      </w:pPr>
      <w:r>
        <w:rPr>
          <w:rFonts w:hint="eastAsia" w:ascii="宋体" w:hAnsi="宋体" w:cs="宋体"/>
          <w:sz w:val="24"/>
        </w:rPr>
        <w:t>2)根据《关于政府采购支持监狱企业发展有关问题的通知》（财库〔2014〕68号）的通知规定，在政府采购活动中，监狱企业视同小型、微型企业。</w:t>
      </w:r>
    </w:p>
    <w:p w14:paraId="4ECF9037">
      <w:pPr>
        <w:pStyle w:val="2"/>
        <w:spacing w:line="400" w:lineRule="exact"/>
        <w:ind w:left="480" w:firstLine="0"/>
        <w:rPr>
          <w:rFonts w:cs="宋体"/>
        </w:rPr>
      </w:pPr>
      <w:r>
        <w:rPr>
          <w:rFonts w:hint="eastAsia" w:cs="宋体"/>
        </w:rPr>
        <w:t>3.本项目的特定资格要求：无</w:t>
      </w:r>
    </w:p>
    <w:p w14:paraId="07EF1A20">
      <w:pPr>
        <w:pStyle w:val="2"/>
        <w:spacing w:line="400" w:lineRule="exact"/>
        <w:ind w:left="480" w:firstLine="0"/>
        <w:rPr>
          <w:rFonts w:cs="宋体"/>
        </w:rPr>
      </w:pPr>
      <w:r>
        <w:rPr>
          <w:rFonts w:hint="eastAsia" w:cs="宋体"/>
        </w:rPr>
        <w:t xml:space="preserve">4.本项目不接受联合体投标。 </w:t>
      </w:r>
    </w:p>
    <w:p w14:paraId="5216D5B9">
      <w:pPr>
        <w:pStyle w:val="2"/>
        <w:spacing w:line="400" w:lineRule="exact"/>
        <w:ind w:left="480" w:firstLine="0"/>
        <w:rPr>
          <w:rFonts w:cs="宋体"/>
        </w:rPr>
      </w:pPr>
      <w:r>
        <w:rPr>
          <w:rFonts w:hint="eastAsia" w:cs="宋体"/>
        </w:rPr>
        <w:t>5.本项目不允许进口产品投标。</w:t>
      </w:r>
    </w:p>
    <w:p w14:paraId="3A8E2586">
      <w:pPr>
        <w:pStyle w:val="2"/>
        <w:spacing w:line="400" w:lineRule="exact"/>
        <w:ind w:left="480" w:firstLine="0"/>
        <w:rPr>
          <w:rFonts w:cs="宋体"/>
          <w:iCs/>
        </w:rPr>
      </w:pPr>
      <w:r>
        <w:rPr>
          <w:rFonts w:hint="eastAsia" w:cs="宋体"/>
          <w:iCs/>
        </w:rPr>
        <w:t>6.拒绝下述供应商参加本次招投标活动：</w:t>
      </w:r>
    </w:p>
    <w:p w14:paraId="56B6E06C">
      <w:pPr>
        <w:pStyle w:val="2"/>
        <w:spacing w:line="400" w:lineRule="exact"/>
        <w:rPr>
          <w:rFonts w:cs="宋体"/>
        </w:rPr>
      </w:pPr>
      <w:r>
        <w:rPr>
          <w:rFonts w:hint="eastAsia" w:cs="宋体"/>
        </w:rPr>
        <w:t>6.1单位负责人为同一人或者存在直接控股、管理关系的不同供应商，不得参加同一合同下的政府采购活动；</w:t>
      </w:r>
    </w:p>
    <w:p w14:paraId="68DB9331">
      <w:pPr>
        <w:pStyle w:val="2"/>
        <w:spacing w:line="400" w:lineRule="exact"/>
        <w:rPr>
          <w:rFonts w:cs="宋体"/>
        </w:rPr>
      </w:pPr>
      <w:r>
        <w:rPr>
          <w:rFonts w:hint="eastAsia" w:cs="宋体"/>
        </w:rPr>
        <w:t>6.2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p>
    <w:p w14:paraId="0AAE70DF">
      <w:pPr>
        <w:numPr>
          <w:ilvl w:val="0"/>
          <w:numId w:val="3"/>
        </w:numPr>
        <w:spacing w:line="400" w:lineRule="exact"/>
        <w:ind w:firstLine="0"/>
        <w:outlineLvl w:val="1"/>
        <w:rPr>
          <w:rFonts w:ascii="宋体" w:hAnsi="宋体" w:cs="宋体"/>
          <w:b/>
          <w:bCs/>
          <w:sz w:val="24"/>
        </w:rPr>
      </w:pPr>
      <w:bookmarkStart w:id="38" w:name="_Toc10458"/>
      <w:bookmarkStart w:id="39" w:name="_Toc29811"/>
      <w:bookmarkStart w:id="40" w:name="_Toc11655"/>
      <w:r>
        <w:rPr>
          <w:rFonts w:hint="eastAsia" w:ascii="宋体" w:hAnsi="宋体" w:cs="宋体"/>
          <w:b/>
          <w:bCs/>
          <w:sz w:val="24"/>
        </w:rPr>
        <w:t>获取招标文件</w:t>
      </w:r>
      <w:bookmarkEnd w:id="38"/>
      <w:bookmarkEnd w:id="39"/>
      <w:bookmarkEnd w:id="40"/>
    </w:p>
    <w:p w14:paraId="18897E65">
      <w:pPr>
        <w:pStyle w:val="2"/>
        <w:spacing w:line="440" w:lineRule="exact"/>
        <w:rPr>
          <w:rFonts w:cs="宋体"/>
        </w:rPr>
      </w:pPr>
      <w:bookmarkStart w:id="41" w:name="_Toc1910"/>
      <w:r>
        <w:rPr>
          <w:rFonts w:hint="eastAsia" w:cs="宋体"/>
        </w:rPr>
        <w:t>1、时间：2025年</w:t>
      </w:r>
      <w:r>
        <w:rPr>
          <w:rFonts w:hint="eastAsia" w:cs="宋体"/>
          <w:lang w:val="en-US" w:eastAsia="zh-CN"/>
        </w:rPr>
        <w:t>11</w:t>
      </w:r>
      <w:r>
        <w:rPr>
          <w:rFonts w:hint="eastAsia" w:cs="宋体"/>
        </w:rPr>
        <w:t>月</w:t>
      </w:r>
      <w:r>
        <w:rPr>
          <w:rFonts w:hint="eastAsia" w:cs="宋体"/>
          <w:lang w:val="en-US" w:eastAsia="zh-CN"/>
        </w:rPr>
        <w:t>13</w:t>
      </w:r>
      <w:r>
        <w:rPr>
          <w:rFonts w:hint="eastAsia" w:cs="宋体"/>
        </w:rPr>
        <w:t>日至2025年</w:t>
      </w:r>
      <w:r>
        <w:rPr>
          <w:rFonts w:hint="eastAsia" w:cs="宋体"/>
          <w:lang w:val="en-US" w:eastAsia="zh-CN"/>
        </w:rPr>
        <w:t>11</w:t>
      </w:r>
      <w:r>
        <w:rPr>
          <w:rFonts w:hint="eastAsia" w:cs="宋体"/>
        </w:rPr>
        <w:t>月</w:t>
      </w:r>
      <w:r>
        <w:rPr>
          <w:rFonts w:hint="eastAsia" w:cs="宋体"/>
          <w:lang w:val="en-US" w:eastAsia="zh-CN"/>
        </w:rPr>
        <w:t>20</w:t>
      </w:r>
      <w:r>
        <w:rPr>
          <w:rFonts w:hint="eastAsia" w:cs="宋体"/>
        </w:rPr>
        <w:t>日</w:t>
      </w:r>
      <w:bookmarkEnd w:id="41"/>
    </w:p>
    <w:p w14:paraId="3F1ADFA1">
      <w:pPr>
        <w:pStyle w:val="2"/>
        <w:spacing w:line="440" w:lineRule="exact"/>
        <w:rPr>
          <w:rFonts w:cs="宋体"/>
        </w:rPr>
        <w:sectPr>
          <w:footerReference r:id="rId10" w:type="first"/>
          <w:footerReference r:id="rId9" w:type="default"/>
          <w:pgSz w:w="11906" w:h="16838"/>
          <w:pgMar w:top="720" w:right="720" w:bottom="720" w:left="720" w:header="851" w:footer="992" w:gutter="0"/>
          <w:pgNumType w:start="1"/>
          <w:cols w:space="1701" w:num="1"/>
          <w:titlePg/>
          <w:docGrid w:linePitch="360" w:charSpace="0"/>
        </w:sectPr>
      </w:pPr>
    </w:p>
    <w:p w14:paraId="0CE45E11">
      <w:pPr>
        <w:pStyle w:val="2"/>
        <w:spacing w:line="440" w:lineRule="exact"/>
        <w:rPr>
          <w:rFonts w:cs="宋体"/>
        </w:rPr>
      </w:pPr>
      <w:r>
        <w:rPr>
          <w:rFonts w:hint="eastAsia" w:cs="宋体"/>
        </w:rPr>
        <w:t>2、方式：在“苏采云政府采购一体化平台”上自行免费获取招标文件。</w:t>
      </w:r>
    </w:p>
    <w:p w14:paraId="59AE91B1">
      <w:pPr>
        <w:numPr>
          <w:ilvl w:val="0"/>
          <w:numId w:val="3"/>
        </w:numPr>
        <w:spacing w:line="400" w:lineRule="exact"/>
        <w:ind w:firstLine="0"/>
        <w:outlineLvl w:val="1"/>
        <w:rPr>
          <w:rFonts w:ascii="宋体" w:hAnsi="宋体" w:cs="宋体"/>
          <w:b/>
          <w:bCs/>
          <w:sz w:val="24"/>
        </w:rPr>
      </w:pPr>
      <w:bookmarkStart w:id="42" w:name="_Toc14544"/>
      <w:bookmarkStart w:id="43" w:name="_Toc18899"/>
      <w:bookmarkStart w:id="44" w:name="_Toc22145"/>
      <w:r>
        <w:rPr>
          <w:rFonts w:hint="eastAsia" w:ascii="宋体" w:hAnsi="宋体" w:cs="宋体"/>
          <w:b/>
          <w:bCs/>
          <w:sz w:val="24"/>
        </w:rPr>
        <w:t>提交投标文件截止时间、开标时间和地点</w:t>
      </w:r>
      <w:bookmarkEnd w:id="42"/>
      <w:bookmarkEnd w:id="43"/>
      <w:bookmarkEnd w:id="44"/>
    </w:p>
    <w:p w14:paraId="201A7181">
      <w:pPr>
        <w:widowControl/>
        <w:spacing w:line="400" w:lineRule="exact"/>
        <w:ind w:firstLine="480"/>
        <w:jc w:val="left"/>
        <w:rPr>
          <w:rFonts w:ascii="宋体" w:hAnsi="宋体" w:cs="宋体"/>
          <w:sz w:val="24"/>
        </w:rPr>
      </w:pPr>
      <w:r>
        <w:rPr>
          <w:rFonts w:hint="eastAsia" w:ascii="宋体" w:hAnsi="宋体" w:cs="宋体"/>
          <w:sz w:val="24"/>
        </w:rPr>
        <w:t>时间：2025年</w:t>
      </w:r>
      <w:r>
        <w:rPr>
          <w:rFonts w:hint="eastAsia" w:ascii="宋体" w:hAnsi="宋体" w:cs="宋体"/>
          <w:sz w:val="24"/>
          <w:lang w:val="en-US" w:eastAsia="zh-CN"/>
        </w:rPr>
        <w:t>12</w:t>
      </w:r>
      <w:r>
        <w:rPr>
          <w:rFonts w:hint="eastAsia" w:ascii="宋体" w:hAnsi="宋体" w:cs="宋体"/>
          <w:sz w:val="24"/>
        </w:rPr>
        <w:t>月</w:t>
      </w:r>
      <w:r>
        <w:rPr>
          <w:rFonts w:hint="eastAsia" w:ascii="宋体" w:hAnsi="宋体" w:cs="宋体"/>
          <w:sz w:val="24"/>
          <w:lang w:val="en-US" w:eastAsia="zh-CN"/>
        </w:rPr>
        <w:t>04</w:t>
      </w:r>
      <w:r>
        <w:rPr>
          <w:rFonts w:hint="eastAsia" w:ascii="宋体" w:hAnsi="宋体" w:cs="宋体"/>
          <w:sz w:val="24"/>
        </w:rPr>
        <w:t>日13：30(北京时间)</w:t>
      </w:r>
    </w:p>
    <w:p w14:paraId="7717431D">
      <w:pPr>
        <w:widowControl/>
        <w:spacing w:line="400" w:lineRule="exact"/>
        <w:ind w:firstLine="480"/>
        <w:jc w:val="left"/>
        <w:rPr>
          <w:rFonts w:ascii="宋体" w:hAnsi="宋体" w:cs="宋体"/>
          <w:sz w:val="24"/>
        </w:rPr>
      </w:pPr>
      <w:r>
        <w:rPr>
          <w:rFonts w:hint="eastAsia" w:ascii="宋体" w:hAnsi="宋体" w:cs="宋体"/>
          <w:sz w:val="24"/>
        </w:rPr>
        <w:t>地点：江苏省政府采购一体化不见面开标（采购）大厅。</w:t>
      </w:r>
    </w:p>
    <w:p w14:paraId="3AAAD060">
      <w:pPr>
        <w:numPr>
          <w:ilvl w:val="0"/>
          <w:numId w:val="3"/>
        </w:numPr>
        <w:spacing w:line="400" w:lineRule="exact"/>
        <w:ind w:firstLine="0"/>
        <w:outlineLvl w:val="1"/>
        <w:rPr>
          <w:rFonts w:ascii="宋体" w:hAnsi="宋体" w:cs="宋体"/>
          <w:b/>
          <w:bCs/>
          <w:sz w:val="24"/>
        </w:rPr>
      </w:pPr>
      <w:bookmarkStart w:id="45" w:name="_Toc17599"/>
      <w:bookmarkStart w:id="46" w:name="_Toc27695"/>
      <w:bookmarkStart w:id="47" w:name="_Toc17677"/>
      <w:r>
        <w:rPr>
          <w:rFonts w:hint="eastAsia" w:ascii="宋体" w:hAnsi="宋体" w:cs="宋体"/>
          <w:b/>
          <w:bCs/>
          <w:sz w:val="24"/>
        </w:rPr>
        <w:t>公告期限</w:t>
      </w:r>
      <w:bookmarkEnd w:id="45"/>
      <w:bookmarkEnd w:id="46"/>
      <w:bookmarkEnd w:id="47"/>
    </w:p>
    <w:p w14:paraId="71A51084">
      <w:pPr>
        <w:widowControl/>
        <w:spacing w:line="400" w:lineRule="exact"/>
        <w:ind w:firstLine="480"/>
        <w:jc w:val="left"/>
        <w:rPr>
          <w:rFonts w:ascii="宋体" w:hAnsi="宋体" w:cs="宋体"/>
          <w:sz w:val="24"/>
        </w:rPr>
      </w:pPr>
      <w:r>
        <w:rPr>
          <w:rFonts w:hint="eastAsia" w:ascii="宋体" w:hAnsi="宋体" w:cs="宋体"/>
          <w:sz w:val="24"/>
        </w:rPr>
        <w:t>自本公告发布之日起5个工作日。</w:t>
      </w:r>
    </w:p>
    <w:p w14:paraId="0AA0430F">
      <w:pPr>
        <w:numPr>
          <w:ilvl w:val="0"/>
          <w:numId w:val="3"/>
        </w:numPr>
        <w:spacing w:line="400" w:lineRule="exact"/>
        <w:ind w:firstLine="0"/>
        <w:outlineLvl w:val="1"/>
        <w:rPr>
          <w:rFonts w:ascii="宋体" w:hAnsi="宋体" w:cs="宋体"/>
          <w:b/>
          <w:bCs/>
          <w:sz w:val="24"/>
        </w:rPr>
      </w:pPr>
      <w:bookmarkStart w:id="48" w:name="_Toc3003"/>
      <w:bookmarkStart w:id="49" w:name="_Toc10825"/>
      <w:bookmarkStart w:id="50" w:name="_Toc20437"/>
      <w:r>
        <w:rPr>
          <w:rFonts w:hint="eastAsia" w:ascii="宋体" w:hAnsi="宋体" w:cs="宋体"/>
          <w:b/>
          <w:bCs/>
          <w:sz w:val="24"/>
        </w:rPr>
        <w:t>其他补充事宜</w:t>
      </w:r>
      <w:bookmarkEnd w:id="48"/>
      <w:bookmarkEnd w:id="49"/>
      <w:bookmarkEnd w:id="50"/>
    </w:p>
    <w:p w14:paraId="0CB19664">
      <w:pPr>
        <w:pStyle w:val="2"/>
        <w:numPr>
          <w:ilvl w:val="0"/>
          <w:numId w:val="4"/>
        </w:numPr>
        <w:spacing w:line="400" w:lineRule="exact"/>
        <w:ind w:firstLine="480"/>
        <w:rPr>
          <w:rFonts w:cs="宋体"/>
        </w:rPr>
      </w:pPr>
      <w:r>
        <w:rPr>
          <w:rFonts w:hint="eastAsia" w:cs="宋体"/>
        </w:rPr>
        <w:t>CA证书办理</w:t>
      </w:r>
    </w:p>
    <w:p w14:paraId="20B6F01D">
      <w:pPr>
        <w:pStyle w:val="2"/>
        <w:spacing w:line="440" w:lineRule="exact"/>
        <w:rPr>
          <w:rFonts w:cs="宋体"/>
        </w:rPr>
      </w:pPr>
      <w:r>
        <w:rPr>
          <w:rFonts w:hint="eastAsia" w:cs="宋体"/>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p>
    <w:p w14:paraId="6CB1EF29">
      <w:pPr>
        <w:pStyle w:val="2"/>
        <w:numPr>
          <w:ilvl w:val="0"/>
          <w:numId w:val="4"/>
        </w:numPr>
        <w:spacing w:line="400" w:lineRule="exact"/>
        <w:ind w:firstLine="480"/>
        <w:rPr>
          <w:rFonts w:cs="宋体"/>
        </w:rPr>
      </w:pPr>
      <w:r>
        <w:rPr>
          <w:rFonts w:hint="eastAsia" w:cs="宋体"/>
        </w:rPr>
        <w:t>参与采购活动</w:t>
      </w:r>
    </w:p>
    <w:p w14:paraId="078EC7C4">
      <w:pPr>
        <w:pStyle w:val="2"/>
        <w:spacing w:line="440" w:lineRule="exact"/>
        <w:rPr>
          <w:rFonts w:cs="宋体"/>
        </w:rPr>
      </w:pPr>
      <w:r>
        <w:rPr>
          <w:rFonts w:hint="eastAsia" w:cs="宋体"/>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w:t>
      </w:r>
    </w:p>
    <w:p w14:paraId="425DFA7C">
      <w:pPr>
        <w:pStyle w:val="2"/>
        <w:numPr>
          <w:ilvl w:val="0"/>
          <w:numId w:val="4"/>
        </w:numPr>
        <w:spacing w:line="400" w:lineRule="exact"/>
        <w:ind w:firstLine="480"/>
        <w:rPr>
          <w:rFonts w:cs="宋体"/>
        </w:rPr>
      </w:pPr>
      <w:r>
        <w:rPr>
          <w:rFonts w:hint="eastAsia" w:cs="宋体"/>
        </w:rPr>
        <w:t>电子投标准备</w:t>
      </w:r>
    </w:p>
    <w:p w14:paraId="3FF69473">
      <w:pPr>
        <w:pStyle w:val="2"/>
        <w:spacing w:line="440" w:lineRule="exact"/>
        <w:rPr>
          <w:rFonts w:cs="宋体"/>
        </w:rPr>
      </w:pPr>
      <w:r>
        <w:rPr>
          <w:rFonts w:hint="eastAsia" w:cs="宋体"/>
        </w:rPr>
        <w:t>供应商在“苏采云”系统中操作成功参与项目后，必须在“已参与项目”界面中下载电子招标文件（后缀名为“.kedt”）并导入政府采购客户端工具后方可进行投标文件制作和提交（具体详见《苏采云系统供应商操作手册》。</w:t>
      </w:r>
    </w:p>
    <w:p w14:paraId="779DA457">
      <w:pPr>
        <w:pStyle w:val="2"/>
        <w:numPr>
          <w:ilvl w:val="0"/>
          <w:numId w:val="4"/>
        </w:numPr>
        <w:spacing w:line="400" w:lineRule="exact"/>
        <w:ind w:firstLine="480"/>
        <w:rPr>
          <w:rFonts w:cs="宋体"/>
        </w:rPr>
      </w:pPr>
      <w:r>
        <w:rPr>
          <w:rFonts w:hint="eastAsia" w:cs="宋体"/>
        </w:rPr>
        <w:t>在系统操作过程中如有疑问，请按以下方式联系：</w:t>
      </w:r>
    </w:p>
    <w:p w14:paraId="21D909EF">
      <w:pPr>
        <w:pStyle w:val="2"/>
        <w:spacing w:line="440" w:lineRule="exact"/>
        <w:rPr>
          <w:rFonts w:cs="宋体"/>
        </w:rPr>
      </w:pPr>
      <w:r>
        <w:rPr>
          <w:rFonts w:hint="eastAsia" w:cs="宋体"/>
        </w:rPr>
        <w:t>注册咨询：18261002950；</w:t>
      </w:r>
    </w:p>
    <w:p w14:paraId="608C57DF">
      <w:pPr>
        <w:pStyle w:val="2"/>
        <w:spacing w:line="440" w:lineRule="exact"/>
        <w:rPr>
          <w:rFonts w:cs="宋体"/>
        </w:rPr>
      </w:pPr>
      <w:r>
        <w:rPr>
          <w:rFonts w:hint="eastAsia" w:cs="宋体"/>
        </w:rPr>
        <w:t>CA技术咨询电话：400-608-6099；</w:t>
      </w:r>
    </w:p>
    <w:p w14:paraId="3339ACF4">
      <w:pPr>
        <w:pStyle w:val="2"/>
        <w:spacing w:line="440" w:lineRule="exact"/>
        <w:rPr>
          <w:rFonts w:cs="宋体"/>
        </w:rPr>
      </w:pPr>
      <w:r>
        <w:rPr>
          <w:rFonts w:hint="eastAsia" w:cs="宋体"/>
        </w:rPr>
        <w:t>签章使用问题：025-83633811、025-83633812、15380932027、15371015030；</w:t>
      </w:r>
    </w:p>
    <w:p w14:paraId="4A4C0368">
      <w:pPr>
        <w:pStyle w:val="2"/>
        <w:spacing w:line="440" w:lineRule="exact"/>
        <w:rPr>
          <w:rFonts w:cs="宋体"/>
        </w:rPr>
      </w:pPr>
      <w:r>
        <w:rPr>
          <w:rFonts w:hint="eastAsia" w:cs="宋体"/>
        </w:rPr>
        <w:t>系统使用指导与咨询：联系电话：18261002950。</w:t>
      </w:r>
    </w:p>
    <w:p w14:paraId="507268AD">
      <w:pPr>
        <w:pStyle w:val="2"/>
        <w:numPr>
          <w:ilvl w:val="0"/>
          <w:numId w:val="4"/>
        </w:numPr>
        <w:spacing w:line="400" w:lineRule="exact"/>
        <w:ind w:firstLine="480"/>
        <w:rPr>
          <w:rFonts w:cs="宋体"/>
        </w:rPr>
      </w:pPr>
      <w:r>
        <w:rPr>
          <w:rFonts w:hint="eastAsia" w:cs="宋体"/>
        </w:rPr>
        <w:t>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22C8A01F">
      <w:pPr>
        <w:widowControl/>
        <w:spacing w:line="400" w:lineRule="exact"/>
        <w:ind w:firstLine="480"/>
        <w:jc w:val="left"/>
        <w:rPr>
          <w:rFonts w:ascii="宋体" w:hAnsi="宋体" w:cs="宋体"/>
          <w:sz w:val="24"/>
        </w:rPr>
      </w:pPr>
      <w:r>
        <w:rPr>
          <w:rFonts w:hint="eastAsia" w:ascii="宋体" w:hAnsi="宋体" w:cs="宋体"/>
          <w:sz w:val="24"/>
        </w:rPr>
        <w:t>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3FFE9AE9">
      <w:pPr>
        <w:widowControl/>
        <w:spacing w:line="400" w:lineRule="exact"/>
        <w:ind w:firstLine="480"/>
        <w:jc w:val="left"/>
        <w:rPr>
          <w:rFonts w:ascii="宋体" w:hAnsi="宋体" w:cs="宋体"/>
          <w:sz w:val="24"/>
        </w:rPr>
      </w:pPr>
      <w:r>
        <w:rPr>
          <w:rFonts w:hint="eastAsia" w:ascii="宋体" w:hAnsi="宋体" w:cs="宋体"/>
          <w:sz w:val="24"/>
        </w:rPr>
        <w:t>请供应商确保电脑、系统及其他设备（视频输入输出设备等）无误，且开标直至项目结束始终保持系统在线状态。</w:t>
      </w:r>
    </w:p>
    <w:p w14:paraId="4D5B73B1">
      <w:pPr>
        <w:pStyle w:val="2"/>
        <w:numPr>
          <w:ilvl w:val="0"/>
          <w:numId w:val="4"/>
        </w:numPr>
        <w:spacing w:line="400" w:lineRule="exact"/>
        <w:ind w:firstLine="480"/>
        <w:rPr>
          <w:rFonts w:cs="宋体"/>
        </w:rPr>
      </w:pPr>
      <w:r>
        <w:rPr>
          <w:rFonts w:hint="eastAsia" w:cs="宋体"/>
        </w:rPr>
        <w:t>招标文件澄清或者修改内容及项目相关情况的告知方式：将在“江苏政府采购网、苏州市政府采购网”公告的方式告知，投标人可自行查看并下载。</w:t>
      </w:r>
    </w:p>
    <w:p w14:paraId="6F4130A6">
      <w:pPr>
        <w:pStyle w:val="2"/>
        <w:numPr>
          <w:ilvl w:val="0"/>
          <w:numId w:val="4"/>
        </w:numPr>
        <w:spacing w:line="400" w:lineRule="exact"/>
        <w:ind w:firstLine="480"/>
        <w:rPr>
          <w:rFonts w:cs="宋体"/>
          <w:color w:val="000000"/>
        </w:rPr>
      </w:pPr>
      <w:r>
        <w:rPr>
          <w:rFonts w:hint="eastAsia" w:cs="宋体"/>
        </w:rPr>
        <w:t>投标保证金：</w:t>
      </w:r>
      <w:r>
        <w:rPr>
          <w:rFonts w:hint="eastAsia" w:cs="宋体"/>
          <w:color w:val="000000"/>
        </w:rPr>
        <w:t>本次招标不收取投标保证金。</w:t>
      </w:r>
    </w:p>
    <w:p w14:paraId="636861D7">
      <w:pPr>
        <w:numPr>
          <w:ilvl w:val="0"/>
          <w:numId w:val="3"/>
        </w:numPr>
        <w:spacing w:line="400" w:lineRule="exact"/>
        <w:ind w:firstLine="0"/>
        <w:outlineLvl w:val="1"/>
        <w:rPr>
          <w:rFonts w:ascii="宋体" w:hAnsi="宋体" w:cs="宋体"/>
          <w:b/>
          <w:bCs/>
          <w:sz w:val="24"/>
        </w:rPr>
      </w:pPr>
      <w:bookmarkStart w:id="51" w:name="_Toc24685"/>
      <w:bookmarkStart w:id="52" w:name="_Toc5578"/>
      <w:bookmarkStart w:id="53" w:name="_Toc12262"/>
      <w:r>
        <w:rPr>
          <w:rFonts w:hint="eastAsia" w:ascii="宋体" w:hAnsi="宋体" w:cs="宋体"/>
          <w:b/>
          <w:bCs/>
          <w:sz w:val="24"/>
        </w:rPr>
        <w:t>对本次招投标活动询问联系方式</w:t>
      </w:r>
      <w:bookmarkEnd w:id="51"/>
      <w:bookmarkEnd w:id="52"/>
      <w:bookmarkEnd w:id="53"/>
    </w:p>
    <w:p w14:paraId="3C90A04D">
      <w:pPr>
        <w:pStyle w:val="2"/>
        <w:numPr>
          <w:ilvl w:val="0"/>
          <w:numId w:val="5"/>
        </w:numPr>
        <w:spacing w:line="400" w:lineRule="exact"/>
        <w:ind w:firstLine="480"/>
        <w:rPr>
          <w:rFonts w:cs="宋体"/>
        </w:rPr>
      </w:pPr>
      <w:bookmarkStart w:id="54" w:name="_Toc17256"/>
      <w:r>
        <w:rPr>
          <w:rFonts w:hint="eastAsia" w:cs="宋体"/>
        </w:rPr>
        <w:t>采购人信息</w:t>
      </w:r>
      <w:bookmarkEnd w:id="54"/>
    </w:p>
    <w:p w14:paraId="49780932">
      <w:pPr>
        <w:widowControl/>
        <w:spacing w:line="400" w:lineRule="exact"/>
        <w:ind w:firstLine="480"/>
        <w:jc w:val="left"/>
        <w:rPr>
          <w:rFonts w:ascii="宋体" w:hAnsi="宋体" w:cs="宋体"/>
          <w:sz w:val="24"/>
        </w:rPr>
      </w:pPr>
      <w:r>
        <w:rPr>
          <w:rFonts w:hint="eastAsia" w:ascii="宋体" w:hAnsi="宋体" w:cs="宋体"/>
          <w:sz w:val="24"/>
        </w:rPr>
        <w:t xml:space="preserve">名称：张家港市锦丰镇人民政府 </w:t>
      </w:r>
    </w:p>
    <w:p w14:paraId="5252D465">
      <w:pPr>
        <w:widowControl/>
        <w:spacing w:line="400" w:lineRule="exact"/>
        <w:ind w:firstLine="480"/>
        <w:jc w:val="left"/>
        <w:rPr>
          <w:rFonts w:ascii="宋体" w:hAnsi="宋体" w:cs="宋体"/>
          <w:sz w:val="24"/>
        </w:rPr>
      </w:pPr>
      <w:r>
        <w:rPr>
          <w:rFonts w:hint="eastAsia" w:ascii="宋体" w:hAnsi="宋体" w:cs="宋体"/>
          <w:sz w:val="24"/>
        </w:rPr>
        <w:t xml:space="preserve">联系人：倪卫峰  </w:t>
      </w:r>
    </w:p>
    <w:p w14:paraId="54D14F01">
      <w:pPr>
        <w:widowControl/>
        <w:spacing w:line="400" w:lineRule="exact"/>
        <w:ind w:firstLine="480"/>
        <w:jc w:val="left"/>
        <w:rPr>
          <w:rFonts w:ascii="宋体" w:hAnsi="宋体" w:cs="宋体"/>
          <w:sz w:val="24"/>
        </w:rPr>
      </w:pPr>
      <w:r>
        <w:rPr>
          <w:rFonts w:hint="eastAsia" w:ascii="宋体" w:hAnsi="宋体" w:cs="宋体"/>
          <w:sz w:val="24"/>
        </w:rPr>
        <w:t>联系方式：</w:t>
      </w:r>
      <w:r>
        <w:rPr>
          <w:rFonts w:ascii="宋体" w:hAnsi="宋体" w:cs="宋体"/>
          <w:sz w:val="24"/>
        </w:rPr>
        <w:t>13776256670</w:t>
      </w:r>
    </w:p>
    <w:p w14:paraId="6C433061">
      <w:pPr>
        <w:widowControl/>
        <w:spacing w:line="400" w:lineRule="exact"/>
        <w:ind w:firstLine="480"/>
        <w:jc w:val="left"/>
        <w:rPr>
          <w:rFonts w:ascii="宋体" w:hAnsi="宋体" w:cs="宋体"/>
          <w:sz w:val="24"/>
        </w:rPr>
      </w:pPr>
      <w:bookmarkStart w:id="55" w:name="_Toc3823"/>
      <w:r>
        <w:rPr>
          <w:rFonts w:hint="eastAsia" w:ascii="宋体" w:hAnsi="宋体" w:cs="宋体"/>
          <w:sz w:val="24"/>
        </w:rPr>
        <w:t>2.采购代理机构信息</w:t>
      </w:r>
      <w:bookmarkEnd w:id="55"/>
    </w:p>
    <w:p w14:paraId="068ECBFD">
      <w:pPr>
        <w:widowControl/>
        <w:spacing w:line="400" w:lineRule="exact"/>
        <w:ind w:firstLine="480"/>
        <w:jc w:val="left"/>
        <w:rPr>
          <w:rFonts w:ascii="宋体" w:hAnsi="宋体" w:cs="宋体"/>
          <w:sz w:val="24"/>
        </w:rPr>
      </w:pPr>
      <w:r>
        <w:rPr>
          <w:rFonts w:hint="eastAsia" w:ascii="宋体" w:hAnsi="宋体" w:cs="宋体"/>
          <w:sz w:val="24"/>
        </w:rPr>
        <w:t>名称：张家港市旭达咨询有限公司</w:t>
      </w:r>
    </w:p>
    <w:p w14:paraId="54CF287B">
      <w:pPr>
        <w:widowControl/>
        <w:spacing w:line="400" w:lineRule="exact"/>
        <w:ind w:firstLine="480"/>
        <w:jc w:val="left"/>
        <w:rPr>
          <w:rFonts w:ascii="宋体" w:hAnsi="宋体" w:cs="宋体"/>
          <w:sz w:val="24"/>
        </w:rPr>
      </w:pPr>
      <w:r>
        <w:rPr>
          <w:rFonts w:hint="eastAsia" w:ascii="宋体" w:hAnsi="宋体" w:cs="宋体"/>
          <w:sz w:val="24"/>
        </w:rPr>
        <w:t>地址：张家港市西溪花苑北门19幢M15</w:t>
      </w:r>
    </w:p>
    <w:p w14:paraId="1D2FCE29">
      <w:pPr>
        <w:widowControl/>
        <w:spacing w:line="400" w:lineRule="exact"/>
        <w:ind w:firstLine="480"/>
        <w:jc w:val="left"/>
        <w:rPr>
          <w:rFonts w:ascii="宋体" w:hAnsi="宋体" w:cs="宋体"/>
          <w:sz w:val="24"/>
        </w:rPr>
      </w:pPr>
      <w:r>
        <w:rPr>
          <w:rFonts w:hint="eastAsia" w:ascii="宋体" w:hAnsi="宋体" w:cs="宋体"/>
          <w:sz w:val="24"/>
        </w:rPr>
        <w:t xml:space="preserve">联系方式：0512-58647780 </w:t>
      </w:r>
      <w:bookmarkStart w:id="56" w:name="_Toc256000001"/>
      <w:bookmarkStart w:id="57" w:name="_Toc54119645"/>
      <w:bookmarkStart w:id="58" w:name="_Toc35244867"/>
    </w:p>
    <w:p w14:paraId="47C0340E">
      <w:pPr>
        <w:widowControl/>
        <w:spacing w:line="400" w:lineRule="exact"/>
        <w:ind w:firstLine="480"/>
        <w:jc w:val="left"/>
        <w:rPr>
          <w:rFonts w:ascii="宋体" w:hAnsi="宋体" w:cs="宋体"/>
          <w:sz w:val="24"/>
        </w:rPr>
      </w:pPr>
      <w:bookmarkStart w:id="59" w:name="_Toc30374"/>
      <w:r>
        <w:rPr>
          <w:rFonts w:hint="eastAsia" w:ascii="宋体" w:hAnsi="宋体" w:cs="宋体"/>
          <w:sz w:val="24"/>
        </w:rPr>
        <w:t>3.项目联系方式</w:t>
      </w:r>
      <w:bookmarkEnd w:id="59"/>
    </w:p>
    <w:p w14:paraId="44D97C19">
      <w:pPr>
        <w:widowControl/>
        <w:spacing w:line="400" w:lineRule="exact"/>
        <w:ind w:firstLine="480"/>
        <w:jc w:val="left"/>
        <w:rPr>
          <w:rFonts w:ascii="宋体" w:hAnsi="宋体" w:cs="宋体"/>
          <w:sz w:val="24"/>
        </w:rPr>
      </w:pPr>
      <w:r>
        <w:rPr>
          <w:rFonts w:hint="eastAsia" w:ascii="宋体" w:hAnsi="宋体" w:cs="宋体"/>
          <w:sz w:val="24"/>
        </w:rPr>
        <w:t>项目联系人：徐晨</w:t>
      </w:r>
    </w:p>
    <w:p w14:paraId="2927ADE1">
      <w:pPr>
        <w:widowControl/>
        <w:spacing w:line="400" w:lineRule="exact"/>
        <w:ind w:firstLine="480"/>
        <w:jc w:val="left"/>
        <w:rPr>
          <w:rFonts w:ascii="宋体" w:hAnsi="宋体" w:cs="宋体"/>
          <w:sz w:val="24"/>
        </w:rPr>
      </w:pPr>
      <w:r>
        <w:rPr>
          <w:rFonts w:hint="eastAsia" w:ascii="宋体" w:hAnsi="宋体" w:cs="宋体"/>
          <w:sz w:val="24"/>
        </w:rPr>
        <w:t>联系电话：0512-58647780</w:t>
      </w:r>
    </w:p>
    <w:p w14:paraId="3DD4629D">
      <w:pPr>
        <w:pStyle w:val="2"/>
        <w:ind w:firstLine="0"/>
        <w:rPr>
          <w:rFonts w:cs="宋体"/>
        </w:rPr>
      </w:pPr>
    </w:p>
    <w:p w14:paraId="33B24D15">
      <w:pPr>
        <w:pageBreakBefore/>
        <w:numPr>
          <w:ilvl w:val="0"/>
          <w:numId w:val="2"/>
        </w:numPr>
        <w:spacing w:after="20" w:line="480" w:lineRule="exact"/>
        <w:jc w:val="center"/>
        <w:outlineLvl w:val="0"/>
        <w:rPr>
          <w:rFonts w:ascii="宋体" w:hAnsi="宋体" w:cs="宋体"/>
          <w:b/>
          <w:bCs/>
          <w:sz w:val="32"/>
          <w:szCs w:val="32"/>
        </w:rPr>
      </w:pPr>
      <w:bookmarkStart w:id="60" w:name="_Toc24105"/>
      <w:bookmarkStart w:id="61" w:name="_Toc29007"/>
      <w:bookmarkStart w:id="62" w:name="_Toc2894"/>
      <w:bookmarkStart w:id="63" w:name="_Toc15478"/>
      <w:bookmarkStart w:id="64" w:name="_Toc12702"/>
      <w:bookmarkStart w:id="65" w:name="_Toc13899"/>
      <w:bookmarkStart w:id="66" w:name="_Toc3236"/>
      <w:r>
        <w:rPr>
          <w:rFonts w:hint="eastAsia" w:ascii="宋体" w:hAnsi="宋体" w:cs="宋体"/>
          <w:b/>
          <w:bCs/>
          <w:sz w:val="32"/>
          <w:szCs w:val="32"/>
        </w:rPr>
        <w:t>投标人须知</w:t>
      </w:r>
      <w:bookmarkEnd w:id="56"/>
      <w:bookmarkEnd w:id="57"/>
      <w:bookmarkEnd w:id="58"/>
      <w:bookmarkEnd w:id="60"/>
      <w:bookmarkEnd w:id="61"/>
      <w:bookmarkEnd w:id="62"/>
      <w:bookmarkEnd w:id="63"/>
      <w:bookmarkEnd w:id="64"/>
      <w:bookmarkEnd w:id="65"/>
      <w:bookmarkEnd w:id="66"/>
    </w:p>
    <w:p w14:paraId="74E1201D">
      <w:pPr>
        <w:numPr>
          <w:ilvl w:val="1"/>
          <w:numId w:val="6"/>
        </w:numPr>
        <w:spacing w:line="400" w:lineRule="exact"/>
        <w:ind w:firstLine="0"/>
        <w:jc w:val="left"/>
        <w:outlineLvl w:val="1"/>
        <w:rPr>
          <w:rStyle w:val="230"/>
          <w:rFonts w:ascii="宋体" w:hAnsi="宋体" w:cs="宋体"/>
          <w:sz w:val="24"/>
          <w:szCs w:val="24"/>
        </w:rPr>
      </w:pPr>
      <w:bookmarkStart w:id="67" w:name="_Toc35244868"/>
      <w:bookmarkStart w:id="68" w:name="_Toc54119646"/>
      <w:bookmarkStart w:id="69" w:name="_Toc10713"/>
      <w:bookmarkStart w:id="70" w:name="_Toc21316"/>
      <w:bookmarkStart w:id="71" w:name="_Toc15644"/>
      <w:bookmarkStart w:id="72" w:name="_Toc256000002"/>
      <w:r>
        <w:rPr>
          <w:rStyle w:val="230"/>
          <w:rFonts w:hint="eastAsia" w:ascii="宋体" w:hAnsi="宋体" w:cs="宋体"/>
          <w:sz w:val="24"/>
          <w:szCs w:val="24"/>
        </w:rPr>
        <w:t>总则</w:t>
      </w:r>
      <w:bookmarkEnd w:id="67"/>
      <w:bookmarkEnd w:id="68"/>
      <w:bookmarkEnd w:id="69"/>
      <w:bookmarkEnd w:id="70"/>
      <w:bookmarkEnd w:id="71"/>
      <w:bookmarkEnd w:id="72"/>
    </w:p>
    <w:p w14:paraId="45C85A83">
      <w:pPr>
        <w:numPr>
          <w:ilvl w:val="0"/>
          <w:numId w:val="7"/>
        </w:numPr>
        <w:spacing w:line="400" w:lineRule="exact"/>
        <w:ind w:firstLine="241"/>
        <w:jc w:val="left"/>
        <w:outlineLvl w:val="2"/>
        <w:rPr>
          <w:rFonts w:ascii="宋体" w:hAnsi="宋体" w:cs="宋体"/>
          <w:b/>
          <w:bCs/>
          <w:sz w:val="24"/>
        </w:rPr>
      </w:pPr>
      <w:bookmarkStart w:id="73" w:name="_Toc14561"/>
      <w:r>
        <w:rPr>
          <w:rFonts w:hint="eastAsia" w:ascii="宋体" w:hAnsi="宋体" w:cs="宋体"/>
          <w:b/>
          <w:bCs/>
          <w:sz w:val="24"/>
        </w:rPr>
        <w:t>招标方式</w:t>
      </w:r>
      <w:bookmarkEnd w:id="73"/>
    </w:p>
    <w:p w14:paraId="4F1ADB79">
      <w:pPr>
        <w:numPr>
          <w:ilvl w:val="1"/>
          <w:numId w:val="8"/>
        </w:numPr>
        <w:spacing w:line="400" w:lineRule="exact"/>
        <w:ind w:firstLine="480"/>
        <w:jc w:val="left"/>
        <w:rPr>
          <w:rFonts w:ascii="宋体" w:hAnsi="宋体" w:cs="宋体"/>
          <w:sz w:val="24"/>
        </w:rPr>
      </w:pPr>
      <w:r>
        <w:rPr>
          <w:rFonts w:hint="eastAsia" w:ascii="宋体" w:hAnsi="宋体" w:cs="宋体"/>
          <w:sz w:val="24"/>
        </w:rPr>
        <w:t>本次招标</w:t>
      </w:r>
      <w:r>
        <w:rPr>
          <w:rFonts w:hint="eastAsia" w:ascii="宋体" w:hAnsi="宋体"/>
          <w:color w:val="000000"/>
          <w:sz w:val="24"/>
        </w:rPr>
        <w:t>采取公开招标方式</w:t>
      </w:r>
      <w:r>
        <w:rPr>
          <w:rFonts w:hint="eastAsia" w:ascii="宋体" w:hAnsi="宋体" w:cs="宋体"/>
          <w:sz w:val="24"/>
        </w:rPr>
        <w:t>，本招标文件仅适用于招标公告中所述项目。</w:t>
      </w:r>
    </w:p>
    <w:p w14:paraId="24228B49">
      <w:pPr>
        <w:numPr>
          <w:ilvl w:val="0"/>
          <w:numId w:val="7"/>
        </w:numPr>
        <w:spacing w:line="400" w:lineRule="exact"/>
        <w:ind w:firstLine="241"/>
        <w:jc w:val="left"/>
        <w:outlineLvl w:val="2"/>
        <w:rPr>
          <w:rFonts w:ascii="宋体" w:hAnsi="宋体" w:cs="宋体"/>
          <w:b/>
          <w:bCs/>
          <w:sz w:val="24"/>
        </w:rPr>
      </w:pPr>
      <w:bookmarkStart w:id="74" w:name="_Toc2878"/>
      <w:r>
        <w:rPr>
          <w:rFonts w:hint="eastAsia" w:ascii="宋体" w:hAnsi="宋体" w:cs="宋体"/>
          <w:b/>
          <w:bCs/>
          <w:sz w:val="24"/>
        </w:rPr>
        <w:t>合格的投标人</w:t>
      </w:r>
      <w:bookmarkEnd w:id="74"/>
    </w:p>
    <w:p w14:paraId="6E805D92">
      <w:pPr>
        <w:numPr>
          <w:ilvl w:val="1"/>
          <w:numId w:val="7"/>
        </w:numPr>
        <w:spacing w:line="400" w:lineRule="exact"/>
        <w:ind w:firstLine="480"/>
        <w:jc w:val="left"/>
        <w:rPr>
          <w:rFonts w:ascii="宋体" w:hAnsi="宋体" w:cs="宋体"/>
          <w:sz w:val="24"/>
        </w:rPr>
      </w:pPr>
      <w:r>
        <w:rPr>
          <w:rFonts w:hint="eastAsia" w:ascii="宋体" w:hAnsi="宋体" w:cs="宋体"/>
          <w:sz w:val="24"/>
        </w:rPr>
        <w:t>满足招标公告中投标人的资格要求的规定。</w:t>
      </w:r>
    </w:p>
    <w:p w14:paraId="681A6C74">
      <w:pPr>
        <w:numPr>
          <w:ilvl w:val="1"/>
          <w:numId w:val="7"/>
        </w:numPr>
        <w:spacing w:line="400" w:lineRule="exact"/>
        <w:ind w:firstLine="480"/>
        <w:jc w:val="left"/>
        <w:rPr>
          <w:rFonts w:ascii="宋体" w:hAnsi="宋体" w:cs="宋体"/>
          <w:sz w:val="24"/>
        </w:rPr>
      </w:pPr>
      <w:r>
        <w:rPr>
          <w:rFonts w:hint="eastAsia" w:ascii="宋体" w:hAnsi="宋体" w:cs="宋体"/>
          <w:sz w:val="24"/>
        </w:rPr>
        <w:t>满足本文件实质性要求的规定</w:t>
      </w:r>
      <w:r>
        <w:rPr>
          <w:rFonts w:hint="eastAsia" w:ascii="宋体" w:hAnsi="宋体" w:cs="宋体"/>
          <w:b/>
          <w:bCs/>
          <w:sz w:val="24"/>
        </w:rPr>
        <w:t>（本招标文件中斜体且有下划线部分为实质性要求）</w:t>
      </w:r>
      <w:r>
        <w:rPr>
          <w:rFonts w:hint="eastAsia" w:ascii="宋体" w:hAnsi="宋体" w:cs="宋体"/>
          <w:sz w:val="24"/>
        </w:rPr>
        <w:t>。</w:t>
      </w:r>
    </w:p>
    <w:p w14:paraId="080693BF">
      <w:pPr>
        <w:numPr>
          <w:ilvl w:val="0"/>
          <w:numId w:val="7"/>
        </w:numPr>
        <w:spacing w:line="400" w:lineRule="exact"/>
        <w:ind w:firstLine="241"/>
        <w:jc w:val="left"/>
        <w:outlineLvl w:val="2"/>
        <w:rPr>
          <w:rFonts w:ascii="宋体" w:hAnsi="宋体" w:cs="宋体"/>
          <w:b/>
          <w:bCs/>
          <w:sz w:val="24"/>
        </w:rPr>
      </w:pPr>
      <w:bookmarkStart w:id="75" w:name="_Toc6011"/>
      <w:r>
        <w:rPr>
          <w:rFonts w:hint="eastAsia" w:ascii="宋体" w:hAnsi="宋体" w:cs="宋体"/>
          <w:b/>
          <w:bCs/>
          <w:sz w:val="24"/>
        </w:rPr>
        <w:t>适用法律</w:t>
      </w:r>
      <w:bookmarkEnd w:id="75"/>
    </w:p>
    <w:p w14:paraId="76EA6CF4">
      <w:pPr>
        <w:numPr>
          <w:ilvl w:val="1"/>
          <w:numId w:val="7"/>
        </w:numPr>
        <w:spacing w:line="400" w:lineRule="exact"/>
        <w:ind w:firstLine="480"/>
        <w:jc w:val="left"/>
        <w:rPr>
          <w:rFonts w:ascii="宋体" w:hAnsi="宋体" w:cs="宋体"/>
          <w:sz w:val="24"/>
        </w:rPr>
      </w:pPr>
      <w:r>
        <w:rPr>
          <w:rFonts w:hint="eastAsia" w:ascii="宋体" w:hAnsi="宋体" w:cs="宋体"/>
          <w:sz w:val="24"/>
        </w:rPr>
        <w:t>本次招标及由此产生的合同受中华人民共和国有关的法律法规制约和保护。</w:t>
      </w:r>
    </w:p>
    <w:p w14:paraId="18BAC6B5">
      <w:pPr>
        <w:numPr>
          <w:ilvl w:val="0"/>
          <w:numId w:val="7"/>
        </w:numPr>
        <w:spacing w:line="400" w:lineRule="exact"/>
        <w:ind w:firstLine="241"/>
        <w:jc w:val="left"/>
        <w:outlineLvl w:val="2"/>
        <w:rPr>
          <w:rFonts w:ascii="宋体" w:hAnsi="宋体" w:cs="宋体"/>
          <w:b/>
          <w:bCs/>
          <w:sz w:val="24"/>
        </w:rPr>
      </w:pPr>
      <w:bookmarkStart w:id="76" w:name="_Toc9150"/>
      <w:r>
        <w:rPr>
          <w:rFonts w:hint="eastAsia" w:ascii="宋体" w:hAnsi="宋体" w:cs="宋体"/>
          <w:b/>
          <w:bCs/>
          <w:sz w:val="24"/>
        </w:rPr>
        <w:t>投标费用</w:t>
      </w:r>
      <w:bookmarkEnd w:id="76"/>
    </w:p>
    <w:p w14:paraId="277578A6">
      <w:pPr>
        <w:numPr>
          <w:ilvl w:val="1"/>
          <w:numId w:val="7"/>
        </w:numPr>
        <w:spacing w:line="400" w:lineRule="exact"/>
        <w:ind w:firstLine="480"/>
        <w:jc w:val="left"/>
        <w:rPr>
          <w:rFonts w:ascii="宋体" w:hAnsi="宋体" w:cs="宋体"/>
          <w:sz w:val="24"/>
        </w:rPr>
      </w:pPr>
      <w:r>
        <w:rPr>
          <w:rFonts w:hint="eastAsia" w:ascii="宋体" w:hAnsi="宋体" w:cs="宋体"/>
          <w:sz w:val="24"/>
        </w:rPr>
        <w:t>投标人应自行承担所有与参加投标有关的费用，无论投标过程中的做法和结果如何，采购代理机构在任何情况下均无义务和责任承担这些费用。</w:t>
      </w:r>
    </w:p>
    <w:p w14:paraId="35FB19C2">
      <w:pPr>
        <w:numPr>
          <w:ilvl w:val="1"/>
          <w:numId w:val="7"/>
        </w:numPr>
        <w:spacing w:line="400" w:lineRule="exact"/>
        <w:ind w:firstLine="480"/>
        <w:jc w:val="left"/>
        <w:rPr>
          <w:rFonts w:ascii="宋体" w:hAnsi="宋体" w:cs="宋体"/>
          <w:sz w:val="24"/>
        </w:rPr>
      </w:pPr>
      <w:r>
        <w:rPr>
          <w:rFonts w:hint="eastAsia" w:ascii="宋体" w:hAnsi="宋体" w:cs="宋体"/>
          <w:sz w:val="24"/>
        </w:rPr>
        <w:t>本次招标采购代理机构收取代理服务费由中标单位支付，按照预算金额1.</w:t>
      </w:r>
      <w:r>
        <w:rPr>
          <w:rFonts w:hint="eastAsia" w:ascii="宋体" w:hAnsi="宋体" w:cs="宋体"/>
          <w:sz w:val="24"/>
          <w:lang w:val="en-US" w:eastAsia="zh-CN"/>
        </w:rPr>
        <w:t>35</w:t>
      </w:r>
      <w:r>
        <w:rPr>
          <w:rFonts w:hint="eastAsia" w:ascii="宋体" w:hAnsi="宋体" w:cs="宋体"/>
          <w:sz w:val="24"/>
        </w:rPr>
        <w:t>%计算支付中标服务费</w:t>
      </w:r>
      <w:r>
        <w:rPr>
          <w:rFonts w:hint="eastAsia" w:ascii="宋体" w:hAnsi="宋体" w:cs="宋体"/>
          <w:sz w:val="24"/>
          <w:lang w:val="en-US" w:eastAsia="zh-CN"/>
        </w:rPr>
        <w:t>即21600元</w:t>
      </w:r>
      <w:r>
        <w:rPr>
          <w:rFonts w:hint="eastAsia" w:ascii="宋体" w:hAnsi="宋体" w:cs="宋体"/>
          <w:sz w:val="24"/>
        </w:rPr>
        <w:t>。该费用由中标单位在签订合同前向采购代理机构一次性付清；</w:t>
      </w:r>
    </w:p>
    <w:p w14:paraId="0ECB1F17">
      <w:pPr>
        <w:numPr>
          <w:ilvl w:val="0"/>
          <w:numId w:val="7"/>
        </w:numPr>
        <w:spacing w:line="400" w:lineRule="exact"/>
        <w:ind w:firstLine="241"/>
        <w:jc w:val="left"/>
        <w:outlineLvl w:val="2"/>
        <w:rPr>
          <w:rFonts w:ascii="宋体" w:hAnsi="宋体" w:cs="宋体"/>
          <w:b/>
          <w:bCs/>
          <w:sz w:val="24"/>
        </w:rPr>
      </w:pPr>
      <w:bookmarkStart w:id="77" w:name="_Toc31542"/>
      <w:r>
        <w:rPr>
          <w:rFonts w:hint="eastAsia" w:ascii="宋体" w:hAnsi="宋体" w:cs="宋体"/>
          <w:b/>
          <w:bCs/>
          <w:sz w:val="24"/>
        </w:rPr>
        <w:t>招标文件的约束力</w:t>
      </w:r>
      <w:bookmarkEnd w:id="77"/>
      <w:bookmarkStart w:id="212" w:name="_GoBack"/>
      <w:bookmarkEnd w:id="212"/>
    </w:p>
    <w:p w14:paraId="5B59BD2E">
      <w:pPr>
        <w:numPr>
          <w:ilvl w:val="1"/>
          <w:numId w:val="7"/>
        </w:numPr>
        <w:spacing w:line="400" w:lineRule="exact"/>
        <w:ind w:firstLine="480"/>
        <w:jc w:val="left"/>
        <w:rPr>
          <w:rFonts w:ascii="宋体" w:hAnsi="宋体" w:cs="宋体"/>
          <w:sz w:val="24"/>
        </w:rPr>
      </w:pPr>
      <w:bookmarkStart w:id="78" w:name="_Toc256000003"/>
      <w:bookmarkStart w:id="79" w:name="_Toc54119647"/>
      <w:bookmarkStart w:id="80" w:name="_Toc35244869"/>
      <w:r>
        <w:rPr>
          <w:rFonts w:hint="eastAsia" w:ascii="宋体" w:hAnsi="宋体" w:cs="宋体"/>
          <w:sz w:val="24"/>
        </w:rPr>
        <w:t>投标人一旦在“苏采云”平台上获取了本招标文件决定参加投标，即被认为接受了本招标文件的规定和约束，并且视为自招标公告发布之日起已经知道或应当知道自身权益是否受到了损害。</w:t>
      </w:r>
    </w:p>
    <w:p w14:paraId="71D6B3CE">
      <w:pPr>
        <w:numPr>
          <w:ilvl w:val="1"/>
          <w:numId w:val="6"/>
        </w:numPr>
        <w:spacing w:line="400" w:lineRule="exact"/>
        <w:ind w:firstLine="0"/>
        <w:jc w:val="left"/>
        <w:outlineLvl w:val="1"/>
        <w:rPr>
          <w:rStyle w:val="230"/>
          <w:rFonts w:ascii="宋体" w:hAnsi="宋体" w:cs="宋体"/>
          <w:bCs w:val="0"/>
          <w:sz w:val="24"/>
          <w:szCs w:val="24"/>
        </w:rPr>
      </w:pPr>
      <w:bookmarkStart w:id="81" w:name="_Toc14347"/>
      <w:bookmarkStart w:id="82" w:name="_Toc21400"/>
      <w:bookmarkStart w:id="83" w:name="_Toc4727"/>
      <w:r>
        <w:rPr>
          <w:rStyle w:val="230"/>
          <w:rFonts w:hint="eastAsia" w:ascii="宋体" w:hAnsi="宋体" w:cs="宋体"/>
          <w:bCs w:val="0"/>
          <w:sz w:val="24"/>
          <w:szCs w:val="24"/>
        </w:rPr>
        <w:t>招标文件</w:t>
      </w:r>
      <w:bookmarkEnd w:id="78"/>
      <w:bookmarkEnd w:id="79"/>
      <w:bookmarkEnd w:id="80"/>
      <w:bookmarkEnd w:id="81"/>
      <w:bookmarkEnd w:id="82"/>
      <w:bookmarkEnd w:id="83"/>
    </w:p>
    <w:p w14:paraId="30F9B4AE">
      <w:pPr>
        <w:numPr>
          <w:ilvl w:val="0"/>
          <w:numId w:val="7"/>
        </w:numPr>
        <w:spacing w:line="400" w:lineRule="exact"/>
        <w:ind w:firstLine="241"/>
        <w:jc w:val="left"/>
        <w:outlineLvl w:val="2"/>
        <w:rPr>
          <w:rFonts w:ascii="宋体" w:hAnsi="宋体" w:cs="宋体"/>
          <w:b/>
          <w:bCs/>
          <w:sz w:val="24"/>
        </w:rPr>
      </w:pPr>
      <w:bookmarkStart w:id="84" w:name="_Toc31846"/>
      <w:r>
        <w:rPr>
          <w:rFonts w:hint="eastAsia" w:ascii="宋体" w:hAnsi="宋体" w:cs="宋体"/>
          <w:b/>
          <w:bCs/>
          <w:sz w:val="24"/>
        </w:rPr>
        <w:t>招标文件构成</w:t>
      </w:r>
      <w:bookmarkEnd w:id="84"/>
    </w:p>
    <w:p w14:paraId="7DA68E05">
      <w:pPr>
        <w:numPr>
          <w:ilvl w:val="1"/>
          <w:numId w:val="7"/>
        </w:numPr>
        <w:spacing w:line="400" w:lineRule="exact"/>
        <w:ind w:firstLine="480"/>
        <w:jc w:val="left"/>
        <w:rPr>
          <w:rFonts w:ascii="宋体" w:hAnsi="宋体" w:cs="宋体"/>
          <w:sz w:val="24"/>
        </w:rPr>
      </w:pPr>
      <w:r>
        <w:rPr>
          <w:rFonts w:hint="eastAsia" w:ascii="宋体" w:hAnsi="宋体" w:cs="宋体"/>
          <w:sz w:val="24"/>
        </w:rPr>
        <w:t>招标文件有以下部分组成：</w:t>
      </w:r>
    </w:p>
    <w:p w14:paraId="2658B638">
      <w:pPr>
        <w:numPr>
          <w:ilvl w:val="0"/>
          <w:numId w:val="9"/>
        </w:numPr>
        <w:spacing w:line="400" w:lineRule="exact"/>
        <w:ind w:firstLine="480"/>
        <w:jc w:val="left"/>
        <w:rPr>
          <w:rFonts w:ascii="宋体" w:hAnsi="宋体" w:cs="宋体"/>
          <w:sz w:val="24"/>
        </w:rPr>
      </w:pPr>
      <w:r>
        <w:rPr>
          <w:rFonts w:hint="eastAsia" w:ascii="宋体" w:hAnsi="宋体" w:cs="宋体"/>
          <w:sz w:val="24"/>
        </w:rPr>
        <w:t>投标邀请</w:t>
      </w:r>
    </w:p>
    <w:p w14:paraId="64296239">
      <w:pPr>
        <w:numPr>
          <w:ilvl w:val="0"/>
          <w:numId w:val="9"/>
        </w:numPr>
        <w:spacing w:line="400" w:lineRule="exact"/>
        <w:ind w:firstLine="480"/>
        <w:jc w:val="left"/>
        <w:rPr>
          <w:rFonts w:ascii="宋体" w:hAnsi="宋体" w:cs="宋体"/>
          <w:sz w:val="24"/>
        </w:rPr>
      </w:pPr>
      <w:r>
        <w:rPr>
          <w:rFonts w:hint="eastAsia" w:ascii="宋体" w:hAnsi="宋体" w:cs="宋体"/>
          <w:sz w:val="24"/>
        </w:rPr>
        <w:t>投标人须知</w:t>
      </w:r>
    </w:p>
    <w:p w14:paraId="46861A01">
      <w:pPr>
        <w:numPr>
          <w:ilvl w:val="0"/>
          <w:numId w:val="9"/>
        </w:numPr>
        <w:spacing w:line="400" w:lineRule="exact"/>
        <w:ind w:firstLine="480"/>
        <w:jc w:val="left"/>
        <w:rPr>
          <w:rFonts w:ascii="宋体" w:hAnsi="宋体" w:cs="宋体"/>
          <w:sz w:val="24"/>
        </w:rPr>
      </w:pPr>
      <w:r>
        <w:rPr>
          <w:rFonts w:hint="eastAsia" w:ascii="宋体" w:hAnsi="宋体" w:cs="宋体"/>
          <w:sz w:val="24"/>
        </w:rPr>
        <w:t>合同条款及格式</w:t>
      </w:r>
    </w:p>
    <w:p w14:paraId="6C89B13F">
      <w:pPr>
        <w:numPr>
          <w:ilvl w:val="0"/>
          <w:numId w:val="9"/>
        </w:numPr>
        <w:spacing w:line="400" w:lineRule="exact"/>
        <w:ind w:firstLine="480"/>
        <w:jc w:val="left"/>
        <w:rPr>
          <w:rFonts w:ascii="宋体" w:hAnsi="宋体" w:cs="宋体"/>
          <w:sz w:val="24"/>
        </w:rPr>
      </w:pPr>
      <w:r>
        <w:rPr>
          <w:rFonts w:hint="eastAsia" w:ascii="宋体" w:hAnsi="宋体" w:cs="宋体"/>
          <w:sz w:val="24"/>
        </w:rPr>
        <w:t>项目需求</w:t>
      </w:r>
    </w:p>
    <w:p w14:paraId="2D6BC57C">
      <w:pPr>
        <w:numPr>
          <w:ilvl w:val="0"/>
          <w:numId w:val="9"/>
        </w:numPr>
        <w:spacing w:line="400" w:lineRule="exact"/>
        <w:ind w:firstLine="480"/>
        <w:jc w:val="left"/>
        <w:rPr>
          <w:rFonts w:ascii="宋体" w:hAnsi="宋体" w:cs="宋体"/>
          <w:sz w:val="24"/>
        </w:rPr>
      </w:pPr>
      <w:r>
        <w:rPr>
          <w:rFonts w:hint="eastAsia" w:ascii="宋体" w:hAnsi="宋体" w:cs="宋体"/>
          <w:sz w:val="24"/>
        </w:rPr>
        <w:t>评标方法与评标标准</w:t>
      </w:r>
    </w:p>
    <w:p w14:paraId="0166DF56">
      <w:pPr>
        <w:numPr>
          <w:ilvl w:val="0"/>
          <w:numId w:val="9"/>
        </w:numPr>
        <w:spacing w:line="400" w:lineRule="exact"/>
        <w:ind w:firstLine="480"/>
        <w:jc w:val="left"/>
        <w:rPr>
          <w:rFonts w:ascii="宋体" w:hAnsi="宋体" w:cs="宋体"/>
          <w:sz w:val="24"/>
        </w:rPr>
      </w:pPr>
      <w:r>
        <w:rPr>
          <w:rFonts w:hint="eastAsia" w:ascii="宋体" w:hAnsi="宋体" w:cs="宋体"/>
          <w:sz w:val="24"/>
        </w:rPr>
        <w:t>投标文件格式</w:t>
      </w:r>
    </w:p>
    <w:p w14:paraId="6B25F5BB">
      <w:pPr>
        <w:spacing w:line="400" w:lineRule="exact"/>
        <w:ind w:firstLine="480"/>
        <w:jc w:val="left"/>
        <w:rPr>
          <w:rFonts w:ascii="宋体" w:hAnsi="宋体" w:cs="宋体"/>
          <w:sz w:val="24"/>
        </w:rPr>
      </w:pPr>
      <w:r>
        <w:rPr>
          <w:rFonts w:hint="eastAsia" w:ascii="宋体" w:hAnsi="宋体" w:cs="宋体"/>
          <w:sz w:val="24"/>
        </w:rPr>
        <w:t>请仔细检查招标文件是否齐全，如有缺漏请立即与张家港市旭达咨询有限公司联系解决。</w:t>
      </w:r>
    </w:p>
    <w:p w14:paraId="233720AB">
      <w:pPr>
        <w:numPr>
          <w:ilvl w:val="1"/>
          <w:numId w:val="7"/>
        </w:numPr>
        <w:spacing w:line="400" w:lineRule="exact"/>
        <w:ind w:firstLine="480"/>
        <w:jc w:val="left"/>
        <w:rPr>
          <w:rFonts w:ascii="宋体" w:hAnsi="宋体" w:cs="宋体"/>
          <w:sz w:val="24"/>
        </w:rPr>
      </w:pPr>
      <w:r>
        <w:rPr>
          <w:rFonts w:hint="eastAsia" w:ascii="宋体" w:hAnsi="宋体" w:cs="宋体"/>
          <w:sz w:val="24"/>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6B2AE8B">
      <w:pPr>
        <w:numPr>
          <w:ilvl w:val="0"/>
          <w:numId w:val="7"/>
        </w:numPr>
        <w:spacing w:line="400" w:lineRule="exact"/>
        <w:ind w:firstLine="241"/>
        <w:jc w:val="left"/>
        <w:outlineLvl w:val="2"/>
        <w:rPr>
          <w:rFonts w:ascii="宋体" w:hAnsi="宋体" w:cs="宋体"/>
          <w:b/>
          <w:bCs/>
          <w:sz w:val="24"/>
        </w:rPr>
      </w:pPr>
      <w:bookmarkStart w:id="85" w:name="_Toc21877"/>
      <w:r>
        <w:rPr>
          <w:rFonts w:hint="eastAsia" w:ascii="宋体" w:hAnsi="宋体" w:cs="宋体"/>
          <w:b/>
          <w:bCs/>
          <w:sz w:val="24"/>
        </w:rPr>
        <w:t>招标文件的澄清及修改</w:t>
      </w:r>
      <w:bookmarkEnd w:id="85"/>
    </w:p>
    <w:p w14:paraId="14C135BA">
      <w:pPr>
        <w:numPr>
          <w:ilvl w:val="1"/>
          <w:numId w:val="7"/>
        </w:numPr>
        <w:spacing w:line="400" w:lineRule="exact"/>
        <w:ind w:firstLine="480"/>
        <w:jc w:val="left"/>
        <w:rPr>
          <w:rFonts w:ascii="宋体" w:hAnsi="宋体" w:cs="宋体"/>
          <w:sz w:val="24"/>
        </w:rPr>
      </w:pPr>
      <w:r>
        <w:rPr>
          <w:rFonts w:hint="eastAsia" w:ascii="宋体" w:hAnsi="宋体" w:cs="宋体"/>
          <w:sz w:val="24"/>
        </w:rPr>
        <w:t>在提交投标文件截止之日前，招标人、采购代理机构有权对已发出的招标文件进行必要的澄清或者修改，</w:t>
      </w:r>
      <w:r>
        <w:rPr>
          <w:rFonts w:hint="eastAsia" w:ascii="宋体" w:hAnsi="宋体"/>
          <w:color w:val="000000"/>
          <w:sz w:val="24"/>
        </w:rPr>
        <w:t>有权按照法定的要求推迟投标截止日期和开标日期</w:t>
      </w:r>
      <w:r>
        <w:rPr>
          <w:rFonts w:hint="eastAsia" w:ascii="宋体" w:hAnsi="宋体" w:cs="宋体"/>
          <w:sz w:val="24"/>
        </w:rPr>
        <w:t>。</w:t>
      </w:r>
    </w:p>
    <w:p w14:paraId="7DED5CD7">
      <w:pPr>
        <w:numPr>
          <w:ilvl w:val="1"/>
          <w:numId w:val="7"/>
        </w:numPr>
        <w:spacing w:line="400" w:lineRule="exact"/>
        <w:ind w:firstLine="480"/>
        <w:jc w:val="left"/>
        <w:rPr>
          <w:rFonts w:ascii="宋体" w:hAnsi="宋体" w:cs="宋体"/>
          <w:sz w:val="24"/>
        </w:rPr>
      </w:pPr>
      <w:r>
        <w:rPr>
          <w:rFonts w:hint="eastAsia" w:ascii="宋体" w:hAnsi="宋体" w:cs="宋体"/>
          <w:sz w:val="24"/>
        </w:rPr>
        <w:t>招标文件的实质性变动或修改将在政府采购公告媒体网通知，投标人可自行下载。补充文件将作为招标文件的组成部分，并对投标人具有约束力。</w:t>
      </w:r>
    </w:p>
    <w:p w14:paraId="505A40D5">
      <w:pPr>
        <w:numPr>
          <w:ilvl w:val="1"/>
          <w:numId w:val="6"/>
        </w:numPr>
        <w:spacing w:line="400" w:lineRule="exact"/>
        <w:ind w:firstLine="0"/>
        <w:jc w:val="left"/>
        <w:outlineLvl w:val="1"/>
        <w:rPr>
          <w:rStyle w:val="230"/>
          <w:rFonts w:ascii="宋体" w:hAnsi="宋体" w:cs="宋体"/>
          <w:bCs w:val="0"/>
          <w:sz w:val="24"/>
          <w:szCs w:val="24"/>
        </w:rPr>
      </w:pPr>
      <w:bookmarkStart w:id="86" w:name="_Toc256000004"/>
      <w:bookmarkStart w:id="87" w:name="_Toc9095"/>
      <w:bookmarkStart w:id="88" w:name="_Toc35244870"/>
      <w:bookmarkStart w:id="89" w:name="_Toc20600"/>
      <w:bookmarkStart w:id="90" w:name="_Toc21471"/>
      <w:bookmarkStart w:id="91" w:name="_Toc54119648"/>
      <w:r>
        <w:rPr>
          <w:rStyle w:val="230"/>
          <w:rFonts w:hint="eastAsia" w:ascii="宋体" w:hAnsi="宋体" w:cs="宋体"/>
          <w:bCs w:val="0"/>
          <w:sz w:val="24"/>
          <w:szCs w:val="24"/>
        </w:rPr>
        <w:t>投标文件的编制</w:t>
      </w:r>
      <w:bookmarkEnd w:id="86"/>
      <w:bookmarkEnd w:id="87"/>
      <w:bookmarkEnd w:id="88"/>
      <w:bookmarkEnd w:id="89"/>
      <w:bookmarkEnd w:id="90"/>
      <w:bookmarkEnd w:id="91"/>
    </w:p>
    <w:p w14:paraId="251CC7E0">
      <w:pPr>
        <w:numPr>
          <w:ilvl w:val="0"/>
          <w:numId w:val="7"/>
        </w:numPr>
        <w:spacing w:line="400" w:lineRule="exact"/>
        <w:ind w:firstLine="241"/>
        <w:jc w:val="left"/>
        <w:outlineLvl w:val="2"/>
        <w:rPr>
          <w:rFonts w:ascii="宋体" w:hAnsi="宋体" w:cs="宋体"/>
          <w:b/>
          <w:bCs/>
          <w:sz w:val="24"/>
        </w:rPr>
      </w:pPr>
      <w:bookmarkStart w:id="92" w:name="_Toc4429"/>
      <w:r>
        <w:rPr>
          <w:rFonts w:hint="eastAsia" w:ascii="宋体" w:hAnsi="宋体" w:cs="宋体"/>
          <w:b/>
          <w:bCs/>
          <w:sz w:val="24"/>
        </w:rPr>
        <w:t>投标文件的语言及度量衡单位</w:t>
      </w:r>
      <w:bookmarkEnd w:id="92"/>
    </w:p>
    <w:p w14:paraId="6241DB05">
      <w:pPr>
        <w:numPr>
          <w:ilvl w:val="1"/>
          <w:numId w:val="7"/>
        </w:numPr>
        <w:spacing w:line="400" w:lineRule="exact"/>
        <w:ind w:firstLine="480"/>
        <w:jc w:val="left"/>
        <w:rPr>
          <w:rFonts w:ascii="宋体" w:hAnsi="宋体" w:cs="宋体"/>
          <w:sz w:val="24"/>
        </w:rPr>
      </w:pPr>
      <w:r>
        <w:rPr>
          <w:rFonts w:hint="eastAsia" w:ascii="宋体" w:hAnsi="宋体" w:cs="宋体"/>
          <w:sz w:val="24"/>
        </w:rPr>
        <w:t>投标人提交的投标文件以及投标人与张家港市旭达咨询有限公司就有关投标的所有来往通知、函件和文件均应使用简体中文。</w:t>
      </w:r>
    </w:p>
    <w:p w14:paraId="6A9F5E44">
      <w:pPr>
        <w:numPr>
          <w:ilvl w:val="1"/>
          <w:numId w:val="7"/>
        </w:numPr>
        <w:spacing w:line="400" w:lineRule="exact"/>
        <w:ind w:firstLine="480"/>
        <w:jc w:val="left"/>
        <w:rPr>
          <w:rFonts w:ascii="宋体" w:hAnsi="宋体" w:cs="宋体"/>
          <w:sz w:val="24"/>
        </w:rPr>
      </w:pPr>
      <w:r>
        <w:rPr>
          <w:rFonts w:hint="eastAsia" w:ascii="宋体" w:hAnsi="宋体" w:cs="宋体"/>
          <w:sz w:val="24"/>
        </w:rPr>
        <w:t>除技术性能另有规定外，投标文件所使用的度量衡单位，均须采用国家法定计量单位。</w:t>
      </w:r>
    </w:p>
    <w:p w14:paraId="2F895DAB">
      <w:pPr>
        <w:numPr>
          <w:ilvl w:val="0"/>
          <w:numId w:val="7"/>
        </w:numPr>
        <w:spacing w:line="400" w:lineRule="exact"/>
        <w:ind w:firstLine="241"/>
        <w:jc w:val="left"/>
        <w:outlineLvl w:val="2"/>
        <w:rPr>
          <w:rFonts w:ascii="宋体" w:hAnsi="宋体" w:cs="宋体"/>
          <w:b/>
          <w:bCs/>
          <w:sz w:val="24"/>
        </w:rPr>
      </w:pPr>
      <w:bookmarkStart w:id="93" w:name="_Toc28334"/>
      <w:r>
        <w:rPr>
          <w:rFonts w:hint="eastAsia" w:ascii="宋体" w:hAnsi="宋体" w:cs="宋体"/>
          <w:b/>
          <w:bCs/>
          <w:sz w:val="24"/>
        </w:rPr>
        <w:t>投标文件构成</w:t>
      </w:r>
      <w:bookmarkEnd w:id="93"/>
    </w:p>
    <w:p w14:paraId="5AD720DD">
      <w:pPr>
        <w:numPr>
          <w:ilvl w:val="1"/>
          <w:numId w:val="7"/>
        </w:numPr>
        <w:spacing w:line="400" w:lineRule="exact"/>
        <w:ind w:firstLine="480"/>
        <w:jc w:val="left"/>
        <w:rPr>
          <w:rFonts w:ascii="宋体" w:hAnsi="宋体" w:cs="宋体"/>
          <w:sz w:val="24"/>
        </w:rPr>
      </w:pPr>
      <w:r>
        <w:rPr>
          <w:rFonts w:hint="eastAsia" w:ascii="宋体" w:hAnsi="宋体" w:cs="宋体"/>
          <w:sz w:val="24"/>
        </w:rPr>
        <w:t>投标人编写的投标文件应包括招标文件中第六章投标文件格式中相关内容。</w:t>
      </w:r>
    </w:p>
    <w:p w14:paraId="2855611E">
      <w:pPr>
        <w:numPr>
          <w:ilvl w:val="1"/>
          <w:numId w:val="7"/>
        </w:numPr>
        <w:spacing w:line="400" w:lineRule="exact"/>
        <w:ind w:firstLine="480"/>
        <w:jc w:val="left"/>
        <w:rPr>
          <w:rFonts w:ascii="宋体" w:hAnsi="宋体" w:cs="宋体"/>
          <w:sz w:val="24"/>
        </w:rPr>
      </w:pPr>
      <w:r>
        <w:rPr>
          <w:rFonts w:hint="eastAsia" w:ascii="宋体" w:hAnsi="宋体" w:cs="宋体"/>
          <w:sz w:val="24"/>
        </w:rPr>
        <w:t>投标人必须在投标文件接收截止时间之前在系统中提交所有与开评标相关的资料。开评标现场不接收任何资料。</w:t>
      </w:r>
    </w:p>
    <w:p w14:paraId="237006D0">
      <w:pPr>
        <w:numPr>
          <w:ilvl w:val="0"/>
          <w:numId w:val="7"/>
        </w:numPr>
        <w:spacing w:line="400" w:lineRule="exact"/>
        <w:ind w:firstLine="241"/>
        <w:jc w:val="left"/>
        <w:outlineLvl w:val="2"/>
        <w:rPr>
          <w:rFonts w:ascii="宋体" w:hAnsi="宋体" w:cs="宋体"/>
          <w:b/>
          <w:bCs/>
          <w:sz w:val="24"/>
        </w:rPr>
      </w:pPr>
      <w:bookmarkStart w:id="94" w:name="_Toc5753"/>
      <w:r>
        <w:rPr>
          <w:rFonts w:hint="eastAsia" w:ascii="宋体" w:hAnsi="宋体" w:cs="宋体"/>
          <w:b/>
          <w:bCs/>
          <w:sz w:val="24"/>
        </w:rPr>
        <w:t>投标函和开标一览表</w:t>
      </w:r>
      <w:bookmarkEnd w:id="94"/>
    </w:p>
    <w:p w14:paraId="0D6D3BB4">
      <w:pPr>
        <w:numPr>
          <w:ilvl w:val="1"/>
          <w:numId w:val="7"/>
        </w:numPr>
        <w:spacing w:line="400" w:lineRule="exact"/>
        <w:ind w:firstLine="480"/>
        <w:jc w:val="left"/>
        <w:rPr>
          <w:rFonts w:ascii="宋体" w:hAnsi="宋体" w:cs="宋体"/>
          <w:sz w:val="24"/>
        </w:rPr>
      </w:pPr>
      <w:r>
        <w:rPr>
          <w:rFonts w:hint="eastAsia" w:ascii="宋体" w:hAnsi="宋体" w:cs="宋体"/>
          <w:sz w:val="24"/>
        </w:rPr>
        <w:t>投标人应按照招标文件中提供的格式完整、正确填写投标函、开标一览表。</w:t>
      </w:r>
    </w:p>
    <w:p w14:paraId="268F4595">
      <w:pPr>
        <w:numPr>
          <w:ilvl w:val="1"/>
          <w:numId w:val="7"/>
        </w:numPr>
        <w:spacing w:line="400" w:lineRule="exact"/>
        <w:ind w:firstLine="480"/>
        <w:jc w:val="left"/>
        <w:rPr>
          <w:rFonts w:ascii="宋体" w:hAnsi="宋体" w:cs="宋体"/>
          <w:sz w:val="24"/>
        </w:rPr>
      </w:pPr>
      <w:r>
        <w:rPr>
          <w:rFonts w:hint="eastAsia" w:ascii="宋体" w:hAnsi="宋体" w:cs="宋体"/>
          <w:sz w:val="24"/>
        </w:rPr>
        <w:t>开标一览表中的价格应与投标文件中投标配置与分项报价表或</w:t>
      </w:r>
      <w:r>
        <w:rPr>
          <w:rFonts w:hint="eastAsia" w:ascii="宋体" w:hAnsi="宋体"/>
          <w:bCs/>
          <w:color w:val="000000"/>
          <w:sz w:val="24"/>
        </w:rPr>
        <w:t>经费测算明细表</w:t>
      </w:r>
      <w:r>
        <w:rPr>
          <w:rFonts w:hint="eastAsia" w:ascii="宋体" w:hAnsi="宋体" w:cs="宋体"/>
          <w:sz w:val="24"/>
        </w:rPr>
        <w:t>中的价格一致，若出现价格不一致的情况，评标时一律按开标一览表中价格为准。</w:t>
      </w:r>
    </w:p>
    <w:p w14:paraId="30B6C9CA">
      <w:pPr>
        <w:numPr>
          <w:ilvl w:val="0"/>
          <w:numId w:val="7"/>
        </w:numPr>
        <w:spacing w:line="400" w:lineRule="exact"/>
        <w:ind w:firstLine="241"/>
        <w:jc w:val="left"/>
        <w:outlineLvl w:val="2"/>
        <w:rPr>
          <w:rFonts w:ascii="宋体" w:hAnsi="宋体" w:cs="宋体"/>
          <w:b/>
          <w:bCs/>
          <w:sz w:val="24"/>
        </w:rPr>
      </w:pPr>
      <w:bookmarkStart w:id="95" w:name="_Toc7298"/>
      <w:r>
        <w:rPr>
          <w:rFonts w:hint="eastAsia" w:ascii="宋体" w:hAnsi="宋体" w:cs="宋体"/>
          <w:b/>
          <w:bCs/>
          <w:sz w:val="24"/>
        </w:rPr>
        <w:t>投标人资格证明文件</w:t>
      </w:r>
      <w:bookmarkEnd w:id="95"/>
    </w:p>
    <w:p w14:paraId="71E56A88">
      <w:pPr>
        <w:numPr>
          <w:ilvl w:val="1"/>
          <w:numId w:val="7"/>
        </w:numPr>
        <w:spacing w:line="400" w:lineRule="exact"/>
        <w:ind w:firstLine="480"/>
        <w:jc w:val="left"/>
        <w:rPr>
          <w:rFonts w:ascii="宋体" w:hAnsi="宋体" w:cs="宋体"/>
          <w:sz w:val="24"/>
        </w:rPr>
      </w:pPr>
      <w:r>
        <w:rPr>
          <w:rFonts w:hint="eastAsia" w:ascii="宋体" w:hAnsi="宋体" w:cs="宋体"/>
          <w:sz w:val="24"/>
        </w:rPr>
        <w:t>投标人应按招标文件的要求提交资格证明文件。</w:t>
      </w:r>
    </w:p>
    <w:p w14:paraId="449553FA">
      <w:pPr>
        <w:numPr>
          <w:ilvl w:val="0"/>
          <w:numId w:val="7"/>
        </w:numPr>
        <w:spacing w:line="400" w:lineRule="exact"/>
        <w:ind w:firstLine="241"/>
        <w:jc w:val="left"/>
        <w:outlineLvl w:val="2"/>
        <w:rPr>
          <w:rFonts w:ascii="宋体" w:hAnsi="宋体" w:cs="宋体"/>
          <w:b/>
          <w:bCs/>
          <w:sz w:val="24"/>
        </w:rPr>
      </w:pPr>
      <w:bookmarkStart w:id="96" w:name="_Toc6816"/>
      <w:r>
        <w:rPr>
          <w:rFonts w:hint="eastAsia" w:ascii="宋体" w:hAnsi="宋体" w:cs="宋体"/>
          <w:b/>
          <w:bCs/>
          <w:sz w:val="24"/>
        </w:rPr>
        <w:t>投标配置与分项报价</w:t>
      </w:r>
      <w:bookmarkStart w:id="97" w:name="_Hlt26670373"/>
      <w:bookmarkEnd w:id="97"/>
      <w:r>
        <w:rPr>
          <w:rFonts w:hint="eastAsia" w:ascii="宋体" w:hAnsi="宋体" w:cs="宋体"/>
          <w:b/>
          <w:bCs/>
          <w:sz w:val="24"/>
        </w:rPr>
        <w:t>表或经费测算明细表</w:t>
      </w:r>
      <w:bookmarkEnd w:id="96"/>
    </w:p>
    <w:p w14:paraId="601524D5">
      <w:pPr>
        <w:numPr>
          <w:ilvl w:val="1"/>
          <w:numId w:val="7"/>
        </w:numPr>
        <w:spacing w:line="400" w:lineRule="exact"/>
        <w:ind w:firstLine="480"/>
        <w:jc w:val="left"/>
        <w:rPr>
          <w:rFonts w:ascii="宋体" w:hAnsi="宋体" w:cs="宋体"/>
          <w:sz w:val="24"/>
        </w:rPr>
      </w:pPr>
      <w:r>
        <w:rPr>
          <w:rFonts w:hint="eastAsia" w:ascii="宋体" w:hAnsi="宋体" w:cs="宋体"/>
          <w:sz w:val="24"/>
        </w:rPr>
        <w:t>投标人应按照招标文件规定格式填报。每项货物和服务等只允许有一个报价。</w:t>
      </w:r>
    </w:p>
    <w:p w14:paraId="5A397424">
      <w:pPr>
        <w:numPr>
          <w:ilvl w:val="1"/>
          <w:numId w:val="7"/>
        </w:numPr>
        <w:spacing w:line="400" w:lineRule="exact"/>
        <w:ind w:firstLine="480"/>
        <w:jc w:val="left"/>
        <w:rPr>
          <w:rFonts w:ascii="宋体" w:hAnsi="宋体" w:cs="宋体"/>
          <w:sz w:val="24"/>
        </w:rPr>
      </w:pPr>
      <w:r>
        <w:rPr>
          <w:rFonts w:hint="eastAsia" w:ascii="宋体" w:hAnsi="宋体" w:cs="宋体"/>
          <w:sz w:val="24"/>
        </w:rPr>
        <w:t>标的物</w:t>
      </w:r>
    </w:p>
    <w:p w14:paraId="015F7E23">
      <w:pPr>
        <w:numPr>
          <w:ilvl w:val="2"/>
          <w:numId w:val="7"/>
        </w:numPr>
        <w:spacing w:line="400" w:lineRule="exact"/>
        <w:ind w:firstLine="720"/>
        <w:jc w:val="left"/>
        <w:rPr>
          <w:rFonts w:ascii="宋体" w:hAnsi="宋体" w:cs="宋体"/>
          <w:sz w:val="24"/>
        </w:rPr>
      </w:pPr>
      <w:r>
        <w:rPr>
          <w:rFonts w:hint="eastAsia" w:ascii="宋体" w:hAnsi="宋体" w:cs="宋体"/>
          <w:sz w:val="24"/>
        </w:rPr>
        <w:t>采购人需求的相关服务等。</w:t>
      </w:r>
    </w:p>
    <w:p w14:paraId="15F28FD1">
      <w:pPr>
        <w:numPr>
          <w:ilvl w:val="2"/>
          <w:numId w:val="7"/>
        </w:numPr>
        <w:spacing w:line="400" w:lineRule="exact"/>
        <w:ind w:firstLine="720"/>
        <w:jc w:val="left"/>
        <w:rPr>
          <w:rFonts w:ascii="宋体" w:hAnsi="宋体" w:cs="宋体"/>
          <w:sz w:val="24"/>
        </w:rPr>
      </w:pPr>
      <w:r>
        <w:rPr>
          <w:rFonts w:hint="eastAsia" w:ascii="宋体" w:hAnsi="宋体" w:cs="宋体"/>
          <w:bCs/>
          <w:sz w:val="24"/>
        </w:rPr>
        <w:t>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60BD32FF">
      <w:pPr>
        <w:numPr>
          <w:ilvl w:val="1"/>
          <w:numId w:val="7"/>
        </w:numPr>
        <w:spacing w:line="400" w:lineRule="exact"/>
        <w:ind w:firstLine="480"/>
        <w:jc w:val="left"/>
        <w:rPr>
          <w:rFonts w:ascii="宋体" w:hAnsi="宋体" w:cs="宋体"/>
          <w:bCs/>
          <w:sz w:val="24"/>
        </w:rPr>
      </w:pPr>
      <w:r>
        <w:rPr>
          <w:rFonts w:hint="eastAsia" w:ascii="宋体" w:hAnsi="宋体" w:cs="宋体"/>
          <w:sz w:val="24"/>
        </w:rPr>
        <w:t>投标货币：投标文件中的货物单价和总价无特殊规定的采用人民币报价，以元为</w:t>
      </w:r>
      <w:r>
        <w:rPr>
          <w:rFonts w:hint="eastAsia" w:ascii="宋体" w:hAnsi="宋体" w:cs="宋体"/>
          <w:bCs/>
          <w:sz w:val="24"/>
        </w:rPr>
        <w:t>单位标注。招标文件中另有规定的按规定执行。</w:t>
      </w:r>
    </w:p>
    <w:p w14:paraId="703F0BC5">
      <w:pPr>
        <w:numPr>
          <w:ilvl w:val="1"/>
          <w:numId w:val="7"/>
        </w:numPr>
        <w:spacing w:line="400" w:lineRule="exact"/>
        <w:ind w:firstLine="480"/>
        <w:jc w:val="left"/>
        <w:rPr>
          <w:rFonts w:ascii="宋体" w:hAnsi="宋体" w:cs="宋体"/>
          <w:sz w:val="24"/>
        </w:rPr>
      </w:pPr>
      <w:r>
        <w:rPr>
          <w:rFonts w:hint="eastAsia" w:ascii="宋体" w:hAnsi="宋体" w:cs="宋体"/>
          <w:sz w:val="24"/>
        </w:rPr>
        <w:t>投标配置与分项报价表上的价格应按下列方式分开填写：</w:t>
      </w:r>
    </w:p>
    <w:p w14:paraId="65930845">
      <w:pPr>
        <w:numPr>
          <w:ilvl w:val="2"/>
          <w:numId w:val="7"/>
        </w:numPr>
        <w:spacing w:line="400" w:lineRule="exact"/>
        <w:ind w:firstLine="480"/>
        <w:jc w:val="left"/>
        <w:rPr>
          <w:rFonts w:ascii="宋体" w:hAnsi="宋体" w:cs="宋体"/>
          <w:sz w:val="24"/>
        </w:rPr>
      </w:pPr>
      <w:bookmarkStart w:id="98" w:name="_Hlt26668983"/>
      <w:bookmarkEnd w:id="98"/>
      <w:bookmarkStart w:id="99" w:name="_Hlt26670403"/>
      <w:bookmarkEnd w:id="99"/>
      <w:bookmarkStart w:id="100" w:name="_Hlt26954844"/>
      <w:bookmarkEnd w:id="100"/>
      <w:bookmarkStart w:id="101" w:name="_Hlt26954842"/>
      <w:bookmarkEnd w:id="101"/>
      <w:bookmarkStart w:id="102" w:name="_Hlt26670425"/>
      <w:bookmarkEnd w:id="102"/>
      <w:r>
        <w:rPr>
          <w:rFonts w:hint="eastAsia" w:ascii="宋体" w:hAnsi="宋体" w:cs="宋体"/>
          <w:sz w:val="24"/>
        </w:rPr>
        <w:t>项目总价：投标人总报价是为完成招标文件规定的所有内容所涉及到的一切费用。总价包括但不限于内容详见开标一览表注释内容。</w:t>
      </w:r>
    </w:p>
    <w:p w14:paraId="79C8049C">
      <w:pPr>
        <w:numPr>
          <w:ilvl w:val="2"/>
          <w:numId w:val="7"/>
        </w:numPr>
        <w:spacing w:line="400" w:lineRule="exact"/>
        <w:ind w:firstLine="480"/>
        <w:jc w:val="left"/>
        <w:rPr>
          <w:rFonts w:ascii="宋体" w:hAnsi="宋体" w:cs="宋体"/>
          <w:sz w:val="24"/>
        </w:rPr>
      </w:pPr>
      <w:r>
        <w:rPr>
          <w:rFonts w:hint="eastAsia" w:ascii="宋体" w:hAnsi="宋体" w:cs="宋体"/>
          <w:sz w:val="24"/>
        </w:rPr>
        <w:t>项目单价按投标配置及分项报价表或经费测算明细表中要求填报。</w:t>
      </w:r>
    </w:p>
    <w:p w14:paraId="0BC46130">
      <w:pPr>
        <w:numPr>
          <w:ilvl w:val="1"/>
          <w:numId w:val="7"/>
        </w:numPr>
        <w:spacing w:line="400" w:lineRule="exact"/>
        <w:ind w:firstLine="480"/>
        <w:jc w:val="left"/>
        <w:rPr>
          <w:rFonts w:ascii="宋体" w:hAnsi="宋体" w:cs="宋体"/>
          <w:sz w:val="24"/>
        </w:rPr>
      </w:pPr>
      <w:r>
        <w:rPr>
          <w:rFonts w:hint="eastAsia" w:ascii="宋体" w:hAnsi="宋体" w:cs="宋体"/>
          <w:sz w:val="24"/>
        </w:rPr>
        <w:t>本报价必须充分考虑所有可能影响到报价的价格因素，一旦投标结束最终成交，总价将包定。如发生漏、缺、少项，都将被认为是中标人的报价让利行为。</w:t>
      </w:r>
    </w:p>
    <w:p w14:paraId="4A427A0B">
      <w:pPr>
        <w:numPr>
          <w:ilvl w:val="0"/>
          <w:numId w:val="7"/>
        </w:numPr>
        <w:spacing w:line="400" w:lineRule="exact"/>
        <w:ind w:firstLine="241"/>
        <w:jc w:val="left"/>
        <w:outlineLvl w:val="2"/>
        <w:rPr>
          <w:rFonts w:ascii="宋体" w:hAnsi="宋体" w:cs="宋体"/>
          <w:b/>
          <w:bCs/>
          <w:sz w:val="24"/>
        </w:rPr>
      </w:pPr>
      <w:bookmarkStart w:id="103" w:name="_Toc3390"/>
      <w:r>
        <w:rPr>
          <w:rFonts w:hint="eastAsia" w:ascii="宋体" w:hAnsi="宋体" w:cs="宋体"/>
          <w:b/>
          <w:bCs/>
          <w:sz w:val="24"/>
        </w:rPr>
        <w:t>技术及服务方案</w:t>
      </w:r>
      <w:bookmarkEnd w:id="103"/>
    </w:p>
    <w:p w14:paraId="601172B7">
      <w:pPr>
        <w:numPr>
          <w:ilvl w:val="1"/>
          <w:numId w:val="7"/>
        </w:numPr>
        <w:spacing w:line="400" w:lineRule="exact"/>
        <w:ind w:firstLine="480"/>
        <w:jc w:val="left"/>
        <w:rPr>
          <w:rFonts w:ascii="宋体" w:hAnsi="宋体" w:cs="宋体"/>
          <w:bCs/>
          <w:sz w:val="24"/>
          <w:lang w:val="zh-CN"/>
        </w:rPr>
      </w:pPr>
      <w:r>
        <w:rPr>
          <w:rFonts w:hint="eastAsia" w:ascii="宋体" w:hAnsi="宋体" w:cs="宋体"/>
          <w:bCs/>
          <w:sz w:val="24"/>
          <w:lang w:val="zh-CN"/>
        </w:rPr>
        <w:t>根据自己对需求的理解撰写需求分析和服务方案。</w:t>
      </w:r>
    </w:p>
    <w:p w14:paraId="2D283BD0">
      <w:pPr>
        <w:numPr>
          <w:ilvl w:val="1"/>
          <w:numId w:val="7"/>
        </w:numPr>
        <w:spacing w:line="400" w:lineRule="exact"/>
        <w:ind w:firstLine="480"/>
        <w:jc w:val="left"/>
        <w:rPr>
          <w:rFonts w:ascii="宋体" w:hAnsi="宋体" w:cs="宋体"/>
          <w:bCs/>
          <w:sz w:val="24"/>
          <w:lang w:val="zh-CN"/>
        </w:rPr>
      </w:pPr>
      <w:r>
        <w:rPr>
          <w:rFonts w:hint="eastAsia" w:ascii="宋体" w:hAnsi="宋体" w:cs="宋体"/>
          <w:bCs/>
          <w:sz w:val="24"/>
          <w:lang w:val="zh-CN"/>
        </w:rPr>
        <w:t>根据自己对项目需求的分析，提出人员配备方案，并详细介绍拟参加本项目服务的人员的资历和持有相关证书情况，特别要详细介绍该项目负责人的学历、资质和所从事过类似案例管理情况。</w:t>
      </w:r>
    </w:p>
    <w:p w14:paraId="78E6ECE0">
      <w:pPr>
        <w:numPr>
          <w:ilvl w:val="0"/>
          <w:numId w:val="7"/>
        </w:numPr>
        <w:spacing w:line="400" w:lineRule="exact"/>
        <w:ind w:firstLine="241"/>
        <w:jc w:val="left"/>
        <w:outlineLvl w:val="2"/>
        <w:rPr>
          <w:rFonts w:ascii="宋体" w:hAnsi="宋体" w:cs="宋体"/>
          <w:b/>
          <w:bCs/>
          <w:sz w:val="24"/>
          <w:lang w:val="zh-CN"/>
        </w:rPr>
      </w:pPr>
      <w:bookmarkStart w:id="104" w:name="_Toc18124"/>
      <w:r>
        <w:rPr>
          <w:rFonts w:hint="eastAsia" w:ascii="宋体" w:hAnsi="宋体" w:cs="宋体"/>
          <w:b/>
          <w:bCs/>
          <w:sz w:val="24"/>
        </w:rPr>
        <w:t>投标人情况介绍</w:t>
      </w:r>
      <w:bookmarkEnd w:id="104"/>
    </w:p>
    <w:p w14:paraId="494E95D5">
      <w:pPr>
        <w:numPr>
          <w:ilvl w:val="1"/>
          <w:numId w:val="7"/>
        </w:numPr>
        <w:spacing w:line="400" w:lineRule="exact"/>
        <w:ind w:firstLine="480"/>
        <w:jc w:val="left"/>
        <w:rPr>
          <w:rFonts w:ascii="宋体" w:hAnsi="宋体" w:cs="宋体"/>
          <w:bCs/>
          <w:sz w:val="24"/>
          <w:lang w:val="zh-CN"/>
        </w:rPr>
      </w:pPr>
      <w:r>
        <w:rPr>
          <w:rFonts w:hint="eastAsia" w:ascii="宋体" w:hAnsi="宋体" w:cs="宋体"/>
          <w:bCs/>
          <w:sz w:val="24"/>
          <w:lang w:val="zh-CN"/>
        </w:rPr>
        <w:t>投标人的总体情况应在电子投标文件中作出说明。</w:t>
      </w:r>
    </w:p>
    <w:p w14:paraId="0C8B04D9">
      <w:pPr>
        <w:numPr>
          <w:ilvl w:val="0"/>
          <w:numId w:val="7"/>
        </w:numPr>
        <w:spacing w:line="400" w:lineRule="exact"/>
        <w:ind w:firstLine="241"/>
        <w:jc w:val="left"/>
        <w:outlineLvl w:val="2"/>
        <w:rPr>
          <w:rFonts w:ascii="宋体" w:hAnsi="宋体" w:cs="宋体"/>
          <w:b/>
          <w:bCs/>
          <w:sz w:val="24"/>
        </w:rPr>
      </w:pPr>
      <w:bookmarkStart w:id="105" w:name="_Toc27190"/>
      <w:r>
        <w:rPr>
          <w:rFonts w:hint="eastAsia" w:ascii="宋体" w:hAnsi="宋体" w:cs="宋体"/>
          <w:b/>
          <w:bCs/>
          <w:sz w:val="24"/>
        </w:rPr>
        <w:t>投标保证金</w:t>
      </w:r>
      <w:bookmarkEnd w:id="105"/>
    </w:p>
    <w:p w14:paraId="38395B9D">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本次招标不收取投标保证金。</w:t>
      </w:r>
    </w:p>
    <w:p w14:paraId="69BFB064">
      <w:pPr>
        <w:numPr>
          <w:ilvl w:val="0"/>
          <w:numId w:val="7"/>
        </w:numPr>
        <w:spacing w:line="400" w:lineRule="exact"/>
        <w:ind w:firstLine="241"/>
        <w:jc w:val="left"/>
        <w:outlineLvl w:val="2"/>
        <w:rPr>
          <w:rFonts w:ascii="宋体" w:hAnsi="宋体" w:cs="宋体"/>
          <w:b/>
          <w:bCs/>
          <w:sz w:val="24"/>
        </w:rPr>
      </w:pPr>
      <w:bookmarkStart w:id="106" w:name="_Toc19819"/>
      <w:r>
        <w:rPr>
          <w:rFonts w:hint="eastAsia" w:ascii="宋体" w:hAnsi="宋体" w:cs="宋体"/>
          <w:b/>
          <w:bCs/>
          <w:sz w:val="24"/>
        </w:rPr>
        <w:t>投标有效期</w:t>
      </w:r>
      <w:bookmarkEnd w:id="106"/>
    </w:p>
    <w:p w14:paraId="024D2AD6">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投标有效期为张家港市旭达咨询有限公司规定的开标之日后九十（90）天。投标有效期比规定短的将被视为非响应性投标而予以拒绝。</w:t>
      </w:r>
    </w:p>
    <w:p w14:paraId="4CF87651">
      <w:pPr>
        <w:numPr>
          <w:ilvl w:val="1"/>
          <w:numId w:val="7"/>
        </w:numPr>
        <w:spacing w:line="400" w:lineRule="exact"/>
        <w:ind w:firstLine="508"/>
        <w:jc w:val="left"/>
        <w:rPr>
          <w:rFonts w:ascii="宋体" w:hAnsi="宋体" w:cs="宋体"/>
          <w:bCs/>
          <w:sz w:val="24"/>
        </w:rPr>
      </w:pPr>
      <w:r>
        <w:rPr>
          <w:rFonts w:hint="eastAsia" w:ascii="宋体" w:hAnsi="宋体" w:cs="宋体"/>
          <w:spacing w:val="7"/>
          <w:sz w:val="24"/>
        </w:rPr>
        <w:t>在特殊情况下，张家港市旭达咨询有限公司于原投标有效期满之前，可向投标人提出延长投标有效期的要求。这种要求与答复均应采用书面形式。投标人可以拒绝张家港市旭达咨询有限公司的这一要求而放弃投标。同意延长投标有效期的投标人既不能要求也不允许修改其投标文件。受投标有效期约束的所有权利与义务均延长至新的有效期。</w:t>
      </w:r>
    </w:p>
    <w:p w14:paraId="57C39740">
      <w:pPr>
        <w:numPr>
          <w:ilvl w:val="0"/>
          <w:numId w:val="7"/>
        </w:numPr>
        <w:spacing w:line="400" w:lineRule="exact"/>
        <w:ind w:firstLine="255"/>
        <w:jc w:val="left"/>
        <w:outlineLvl w:val="2"/>
        <w:rPr>
          <w:rFonts w:ascii="宋体" w:hAnsi="宋体" w:cs="宋体"/>
          <w:b/>
          <w:bCs/>
          <w:spacing w:val="7"/>
          <w:sz w:val="24"/>
          <w:szCs w:val="32"/>
        </w:rPr>
      </w:pPr>
      <w:bookmarkStart w:id="107" w:name="_Toc16988"/>
      <w:r>
        <w:rPr>
          <w:rFonts w:hint="eastAsia" w:ascii="宋体" w:hAnsi="宋体" w:cs="宋体"/>
          <w:b/>
          <w:bCs/>
          <w:spacing w:val="7"/>
          <w:sz w:val="24"/>
          <w:szCs w:val="32"/>
        </w:rPr>
        <w:t>投标文件签署</w:t>
      </w:r>
      <w:bookmarkEnd w:id="107"/>
    </w:p>
    <w:p w14:paraId="34CD9F9E">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本招标文件所表述（指定）的公章是指法定名称章，不包括合同专用章、业务专用章等印章。</w:t>
      </w:r>
    </w:p>
    <w:p w14:paraId="0FBAB65D">
      <w:pPr>
        <w:numPr>
          <w:ilvl w:val="1"/>
          <w:numId w:val="6"/>
        </w:numPr>
        <w:spacing w:line="400" w:lineRule="exact"/>
        <w:ind w:firstLine="0"/>
        <w:jc w:val="left"/>
        <w:outlineLvl w:val="1"/>
        <w:rPr>
          <w:rStyle w:val="230"/>
          <w:rFonts w:ascii="宋体" w:hAnsi="宋体" w:cs="宋体"/>
          <w:bCs w:val="0"/>
          <w:sz w:val="24"/>
          <w:szCs w:val="24"/>
        </w:rPr>
      </w:pPr>
      <w:bookmarkStart w:id="108" w:name="_Toc256000005"/>
      <w:bookmarkStart w:id="109" w:name="_Toc54119649"/>
      <w:bookmarkStart w:id="110" w:name="_Toc13063"/>
      <w:bookmarkStart w:id="111" w:name="_Toc8407"/>
      <w:bookmarkStart w:id="112" w:name="_Toc9093"/>
      <w:r>
        <w:rPr>
          <w:rStyle w:val="230"/>
          <w:rFonts w:hint="eastAsia" w:ascii="宋体" w:hAnsi="宋体" w:cs="宋体"/>
          <w:bCs w:val="0"/>
          <w:sz w:val="24"/>
          <w:szCs w:val="24"/>
        </w:rPr>
        <w:t>投标文件的</w:t>
      </w:r>
      <w:bookmarkEnd w:id="108"/>
      <w:bookmarkEnd w:id="109"/>
      <w:r>
        <w:rPr>
          <w:rStyle w:val="230"/>
          <w:rFonts w:hint="eastAsia" w:ascii="宋体" w:hAnsi="宋体" w:cs="宋体"/>
          <w:bCs w:val="0"/>
          <w:sz w:val="24"/>
          <w:szCs w:val="24"/>
        </w:rPr>
        <w:t>制作、上传、提交</w:t>
      </w:r>
      <w:bookmarkEnd w:id="110"/>
      <w:bookmarkEnd w:id="111"/>
      <w:bookmarkEnd w:id="112"/>
    </w:p>
    <w:p w14:paraId="60821E12">
      <w:pPr>
        <w:numPr>
          <w:ilvl w:val="0"/>
          <w:numId w:val="7"/>
        </w:numPr>
        <w:spacing w:line="400" w:lineRule="exact"/>
        <w:ind w:firstLine="255"/>
        <w:jc w:val="left"/>
        <w:outlineLvl w:val="2"/>
        <w:rPr>
          <w:rFonts w:ascii="宋体" w:hAnsi="宋体" w:cs="宋体"/>
          <w:b/>
          <w:bCs/>
          <w:spacing w:val="7"/>
          <w:sz w:val="24"/>
          <w:szCs w:val="32"/>
        </w:rPr>
      </w:pPr>
      <w:bookmarkStart w:id="113" w:name="_Toc12544"/>
      <w:r>
        <w:rPr>
          <w:rFonts w:hint="eastAsia" w:ascii="宋体" w:hAnsi="宋体" w:cs="宋体"/>
          <w:b/>
          <w:bCs/>
          <w:spacing w:val="7"/>
          <w:sz w:val="24"/>
          <w:szCs w:val="32"/>
        </w:rPr>
        <w:t>投标文件的制作</w:t>
      </w:r>
      <w:bookmarkEnd w:id="113"/>
    </w:p>
    <w:p w14:paraId="294F9A09">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投标人应当按照《</w:t>
      </w:r>
      <w:r>
        <w:rPr>
          <w:rStyle w:val="275"/>
          <w:rFonts w:hint="eastAsia" w:ascii="宋体" w:hAnsi="宋体" w:cs="宋体"/>
          <w:spacing w:val="7"/>
          <w:sz w:val="24"/>
        </w:rPr>
        <w:t>苏采云系统</w:t>
      </w:r>
      <w:r>
        <w:rPr>
          <w:rFonts w:hint="eastAsia" w:ascii="宋体" w:hAnsi="宋体" w:cs="宋体"/>
          <w:spacing w:val="7"/>
          <w:sz w:val="24"/>
        </w:rPr>
        <w:t>操作手册》规定，在投标截止时间前制作并上传电子投标文件。</w:t>
      </w:r>
    </w:p>
    <w:p w14:paraId="5F0D3A65">
      <w:pPr>
        <w:numPr>
          <w:ilvl w:val="0"/>
          <w:numId w:val="7"/>
        </w:numPr>
        <w:spacing w:line="400" w:lineRule="exact"/>
        <w:ind w:firstLine="241"/>
        <w:jc w:val="left"/>
        <w:outlineLvl w:val="2"/>
        <w:rPr>
          <w:rFonts w:ascii="宋体" w:hAnsi="宋体" w:cs="宋体"/>
          <w:b/>
          <w:bCs/>
          <w:sz w:val="24"/>
        </w:rPr>
      </w:pPr>
      <w:bookmarkStart w:id="114" w:name="_Toc19418"/>
      <w:bookmarkStart w:id="115" w:name="_Toc6388850"/>
      <w:bookmarkStart w:id="116" w:name="_Toc6389298"/>
      <w:r>
        <w:rPr>
          <w:rFonts w:hint="eastAsia" w:ascii="宋体" w:hAnsi="宋体" w:cs="宋体"/>
          <w:b/>
          <w:bCs/>
          <w:sz w:val="24"/>
        </w:rPr>
        <w:t>投标截止日期</w:t>
      </w:r>
      <w:bookmarkEnd w:id="114"/>
      <w:bookmarkEnd w:id="115"/>
      <w:bookmarkEnd w:id="116"/>
    </w:p>
    <w:p w14:paraId="4EA6E99C">
      <w:pPr>
        <w:numPr>
          <w:ilvl w:val="1"/>
          <w:numId w:val="7"/>
        </w:numPr>
        <w:spacing w:line="400" w:lineRule="exact"/>
        <w:ind w:firstLine="508"/>
        <w:jc w:val="left"/>
        <w:rPr>
          <w:rFonts w:ascii="宋体" w:hAnsi="宋体" w:cs="宋体"/>
          <w:spacing w:val="7"/>
          <w:sz w:val="24"/>
        </w:rPr>
      </w:pPr>
      <w:bookmarkStart w:id="117" w:name="_Toc6389299"/>
      <w:bookmarkStart w:id="118" w:name="_Toc6388851"/>
      <w:r>
        <w:rPr>
          <w:rFonts w:hint="eastAsia" w:ascii="宋体" w:hAnsi="宋体" w:cs="宋体"/>
          <w:spacing w:val="7"/>
          <w:sz w:val="24"/>
        </w:rPr>
        <w:t>投标人上传电子投标文件的时间不得迟于招标公告中规定的投标截止时间。</w:t>
      </w:r>
    </w:p>
    <w:p w14:paraId="4DA15609">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投标人应充分考虑到网络环境、网络带宽等风险因素，如因投标人自身原因造成的电子投标文件上传不成功由投标人自行承担全部责任。</w:t>
      </w:r>
    </w:p>
    <w:p w14:paraId="0346FD08">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采购代理机构可以按照规定，通过修改招标文件有权酌情延长投标截止日期，在此情况下，投标人的所有权利和义务以及投标人受制的截止日期均应以延长后新的截止日期为准。</w:t>
      </w:r>
      <w:bookmarkEnd w:id="117"/>
      <w:bookmarkEnd w:id="118"/>
    </w:p>
    <w:p w14:paraId="6FF39736">
      <w:pPr>
        <w:numPr>
          <w:ilvl w:val="1"/>
          <w:numId w:val="7"/>
        </w:numPr>
        <w:spacing w:line="400" w:lineRule="exact"/>
        <w:ind w:firstLine="480"/>
        <w:jc w:val="left"/>
        <w:rPr>
          <w:rFonts w:ascii="宋体" w:hAnsi="宋体" w:cs="宋体"/>
          <w:sz w:val="24"/>
        </w:rPr>
      </w:pPr>
      <w:r>
        <w:rPr>
          <w:rFonts w:hint="eastAsia" w:ascii="宋体" w:hAnsi="宋体" w:cs="宋体"/>
          <w:sz w:val="24"/>
        </w:rPr>
        <w:t>采购代理机构拒绝接收在其规定的投标截止时间后提交的任何投标文件。</w:t>
      </w:r>
    </w:p>
    <w:p w14:paraId="2829A7F9">
      <w:pPr>
        <w:numPr>
          <w:ilvl w:val="0"/>
          <w:numId w:val="7"/>
        </w:numPr>
        <w:spacing w:line="400" w:lineRule="exact"/>
        <w:ind w:firstLine="241"/>
        <w:jc w:val="left"/>
        <w:outlineLvl w:val="2"/>
        <w:rPr>
          <w:rFonts w:ascii="宋体" w:hAnsi="宋体" w:cs="宋体"/>
          <w:b/>
          <w:bCs/>
          <w:sz w:val="24"/>
        </w:rPr>
      </w:pPr>
      <w:bookmarkStart w:id="119" w:name="_Toc6389300"/>
      <w:bookmarkStart w:id="120" w:name="_Toc28400"/>
      <w:bookmarkStart w:id="121" w:name="_Toc6388852"/>
      <w:r>
        <w:rPr>
          <w:rFonts w:hint="eastAsia" w:ascii="宋体" w:hAnsi="宋体" w:cs="宋体"/>
          <w:b/>
          <w:bCs/>
          <w:sz w:val="24"/>
        </w:rPr>
        <w:t>投标文件的修改和撤回</w:t>
      </w:r>
      <w:bookmarkEnd w:id="119"/>
      <w:bookmarkEnd w:id="120"/>
      <w:bookmarkEnd w:id="121"/>
    </w:p>
    <w:p w14:paraId="28968F15">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投投标人在提交投标文件后，可以修改或撤回其投标文件，但这种修改和撤回，必须在规定的投标截止时间前，具体操作方法见《</w:t>
      </w:r>
      <w:r>
        <w:rPr>
          <w:rStyle w:val="275"/>
          <w:rFonts w:hint="eastAsia" w:ascii="宋体" w:hAnsi="宋体" w:cs="宋体"/>
          <w:spacing w:val="7"/>
          <w:sz w:val="24"/>
        </w:rPr>
        <w:t>苏采云系统</w:t>
      </w:r>
      <w:r>
        <w:rPr>
          <w:rFonts w:hint="eastAsia" w:ascii="宋体" w:hAnsi="宋体" w:cs="宋体"/>
          <w:spacing w:val="7"/>
          <w:sz w:val="24"/>
        </w:rPr>
        <w:t>操作手册》。</w:t>
      </w:r>
    </w:p>
    <w:p w14:paraId="5F67F5E2">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投标人撤回电子投标文件，则认为其不再参与本项目投标活动。</w:t>
      </w:r>
    </w:p>
    <w:p w14:paraId="53B140A8">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在投标截止时间之后，投标人不得对其电子投标文件作任何修改。</w:t>
      </w:r>
    </w:p>
    <w:p w14:paraId="054EC521">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在投标截止时间至招标文件中规定的投标有效期满之间的这段时间内，投标人不得撤销其投标。</w:t>
      </w:r>
    </w:p>
    <w:p w14:paraId="7B215AF5">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不论投标人中标与否，投标文件均不退回。</w:t>
      </w:r>
    </w:p>
    <w:p w14:paraId="731A2A31">
      <w:pPr>
        <w:numPr>
          <w:ilvl w:val="1"/>
          <w:numId w:val="6"/>
        </w:numPr>
        <w:spacing w:line="400" w:lineRule="exact"/>
        <w:ind w:firstLine="0"/>
        <w:jc w:val="left"/>
        <w:outlineLvl w:val="1"/>
        <w:rPr>
          <w:rStyle w:val="230"/>
          <w:rFonts w:ascii="宋体" w:hAnsi="宋体" w:cs="宋体"/>
          <w:bCs w:val="0"/>
          <w:sz w:val="24"/>
          <w:szCs w:val="24"/>
        </w:rPr>
      </w:pPr>
      <w:bookmarkStart w:id="122" w:name="_Toc256000006"/>
      <w:bookmarkStart w:id="123" w:name="_Toc54119650"/>
      <w:bookmarkStart w:id="124" w:name="_Toc35244872"/>
      <w:bookmarkStart w:id="125" w:name="_Toc5723"/>
      <w:bookmarkStart w:id="126" w:name="_Toc22772"/>
      <w:bookmarkStart w:id="127" w:name="_Toc21743"/>
      <w:r>
        <w:rPr>
          <w:rStyle w:val="230"/>
          <w:rFonts w:hint="eastAsia" w:ascii="宋体" w:hAnsi="宋体" w:cs="宋体"/>
          <w:bCs w:val="0"/>
          <w:sz w:val="24"/>
          <w:szCs w:val="24"/>
        </w:rPr>
        <w:t>开标与评标</w:t>
      </w:r>
      <w:bookmarkEnd w:id="122"/>
      <w:bookmarkEnd w:id="123"/>
      <w:bookmarkEnd w:id="124"/>
      <w:bookmarkEnd w:id="125"/>
      <w:bookmarkEnd w:id="126"/>
      <w:bookmarkEnd w:id="127"/>
    </w:p>
    <w:p w14:paraId="481F38D4">
      <w:pPr>
        <w:numPr>
          <w:ilvl w:val="0"/>
          <w:numId w:val="7"/>
        </w:numPr>
        <w:spacing w:line="400" w:lineRule="exact"/>
        <w:ind w:firstLine="241"/>
        <w:jc w:val="left"/>
        <w:outlineLvl w:val="2"/>
        <w:rPr>
          <w:rFonts w:ascii="宋体" w:hAnsi="宋体" w:cs="宋体"/>
          <w:b/>
          <w:bCs/>
          <w:sz w:val="24"/>
        </w:rPr>
      </w:pPr>
      <w:bookmarkStart w:id="128" w:name="_Toc30366"/>
      <w:r>
        <w:rPr>
          <w:rFonts w:hint="eastAsia" w:ascii="宋体" w:hAnsi="宋体" w:cs="宋体"/>
          <w:b/>
          <w:bCs/>
          <w:sz w:val="24"/>
        </w:rPr>
        <w:t>开标</w:t>
      </w:r>
      <w:bookmarkEnd w:id="128"/>
    </w:p>
    <w:p w14:paraId="0B21C2D7">
      <w:pPr>
        <w:numPr>
          <w:ilvl w:val="1"/>
          <w:numId w:val="7"/>
        </w:numPr>
        <w:spacing w:line="400" w:lineRule="exact"/>
        <w:ind w:firstLine="508"/>
        <w:jc w:val="left"/>
        <w:rPr>
          <w:rFonts w:ascii="宋体" w:hAnsi="宋体" w:cs="宋体"/>
          <w:spacing w:val="7"/>
          <w:sz w:val="24"/>
        </w:rPr>
      </w:pPr>
      <w:r>
        <w:rPr>
          <w:rStyle w:val="275"/>
          <w:rFonts w:hint="eastAsia" w:ascii="宋体" w:hAnsi="宋体" w:cs="宋体"/>
          <w:spacing w:val="7"/>
          <w:sz w:val="24"/>
        </w:rPr>
        <w:t>开标由采购代理机构在线主持，邀请投标人在线参加。投标人应当按照《苏采云系统操作手册》规定，参加开标活动和在“苏采云”系统规定的时间内对投标文件进行解密。</w:t>
      </w:r>
    </w:p>
    <w:p w14:paraId="54F78B51">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开标时，</w:t>
      </w:r>
      <w:r>
        <w:rPr>
          <w:rStyle w:val="275"/>
          <w:rFonts w:hint="eastAsia" w:ascii="宋体" w:hAnsi="宋体" w:cs="宋体"/>
          <w:spacing w:val="7"/>
          <w:sz w:val="24"/>
        </w:rPr>
        <w:t>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2EDB31D6">
      <w:pPr>
        <w:numPr>
          <w:ilvl w:val="0"/>
          <w:numId w:val="7"/>
        </w:numPr>
        <w:spacing w:line="400" w:lineRule="exact"/>
        <w:ind w:firstLine="241"/>
        <w:jc w:val="left"/>
        <w:outlineLvl w:val="2"/>
        <w:rPr>
          <w:rFonts w:ascii="宋体" w:hAnsi="宋体" w:cs="宋体"/>
          <w:b/>
          <w:bCs/>
          <w:sz w:val="24"/>
        </w:rPr>
      </w:pPr>
      <w:bookmarkStart w:id="129" w:name="_Toc4671"/>
      <w:r>
        <w:rPr>
          <w:rFonts w:hint="eastAsia" w:ascii="宋体" w:hAnsi="宋体" w:cs="宋体"/>
          <w:b/>
          <w:bCs/>
          <w:sz w:val="24"/>
        </w:rPr>
        <w:t>评标委员会</w:t>
      </w:r>
      <w:bookmarkEnd w:id="129"/>
    </w:p>
    <w:p w14:paraId="4C8412B0">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开标后，代理机构将立即组织评标委员会（以下简称评委会）进行评标。</w:t>
      </w:r>
    </w:p>
    <w:p w14:paraId="281ABEA9">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评委会由评审专家、采购人代表组成，且人员构成符合政府采购有关规定。</w:t>
      </w:r>
    </w:p>
    <w:p w14:paraId="6133833E">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评委会应以科学、公正的态度参加评审工作并推荐中标候选人。评审专家和采购人代表在评审过程中不受任何干扰，独立、负责地提出评审意见，并对自己的评审意见承担责任。</w:t>
      </w:r>
    </w:p>
    <w:p w14:paraId="346C9DC3">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评委会将对投标人的商业、技术秘密予以保密。</w:t>
      </w:r>
    </w:p>
    <w:p w14:paraId="5642FC75">
      <w:pPr>
        <w:numPr>
          <w:ilvl w:val="0"/>
          <w:numId w:val="7"/>
        </w:numPr>
        <w:spacing w:line="400" w:lineRule="exact"/>
        <w:ind w:firstLine="241"/>
        <w:jc w:val="left"/>
        <w:outlineLvl w:val="2"/>
        <w:rPr>
          <w:rFonts w:ascii="宋体" w:hAnsi="宋体" w:cs="宋体"/>
          <w:b/>
          <w:bCs/>
          <w:sz w:val="24"/>
        </w:rPr>
      </w:pPr>
      <w:bookmarkStart w:id="130" w:name="_Toc2623"/>
      <w:r>
        <w:rPr>
          <w:rFonts w:hint="eastAsia" w:ascii="宋体" w:hAnsi="宋体" w:cs="宋体"/>
          <w:b/>
          <w:bCs/>
          <w:sz w:val="24"/>
        </w:rPr>
        <w:t>评标过程的保密与公正</w:t>
      </w:r>
      <w:bookmarkEnd w:id="130"/>
    </w:p>
    <w:p w14:paraId="19C459D5">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公开开标后，直至向中标的投标人授予合同时止，凡是与审查、澄清、评价和比较投标的有关资料以及授标建议等，均不得向投标人或与评标无关的其他人员透露。</w:t>
      </w:r>
    </w:p>
    <w:p w14:paraId="3F415237">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在评标过程中，如果投标人试图向张家港市旭达咨询有限公司和参与评标的人员施加任何影响，都将会导致其投标被拒绝。</w:t>
      </w:r>
    </w:p>
    <w:p w14:paraId="374024A5">
      <w:pPr>
        <w:numPr>
          <w:ilvl w:val="1"/>
          <w:numId w:val="7"/>
        </w:numPr>
        <w:spacing w:line="400" w:lineRule="exact"/>
        <w:ind w:firstLine="480"/>
        <w:jc w:val="left"/>
        <w:rPr>
          <w:rFonts w:ascii="宋体" w:hAnsi="宋体" w:cs="宋体"/>
          <w:color w:val="000000"/>
          <w:spacing w:val="7"/>
          <w:sz w:val="24"/>
        </w:rPr>
      </w:pPr>
      <w:r>
        <w:rPr>
          <w:rFonts w:hint="eastAsia" w:ascii="宋体" w:hAnsi="宋体" w:cs="宋体"/>
          <w:color w:val="000000"/>
          <w:sz w:val="24"/>
        </w:rPr>
        <w:t>投标人可于中标结果公告期限届满之日起通过苏采云系统查看自己的评审得分及排序情况。</w:t>
      </w:r>
    </w:p>
    <w:p w14:paraId="4E466B5C">
      <w:pPr>
        <w:numPr>
          <w:ilvl w:val="0"/>
          <w:numId w:val="7"/>
        </w:numPr>
        <w:spacing w:line="400" w:lineRule="exact"/>
        <w:ind w:firstLine="241"/>
        <w:jc w:val="left"/>
        <w:outlineLvl w:val="2"/>
        <w:rPr>
          <w:rFonts w:ascii="宋体" w:hAnsi="宋体" w:cs="宋体"/>
          <w:b/>
          <w:bCs/>
          <w:sz w:val="24"/>
        </w:rPr>
      </w:pPr>
      <w:bookmarkStart w:id="131" w:name="_Toc6849"/>
      <w:r>
        <w:rPr>
          <w:rFonts w:hint="eastAsia" w:ascii="宋体" w:hAnsi="宋体" w:cs="宋体"/>
          <w:b/>
          <w:bCs/>
          <w:sz w:val="24"/>
        </w:rPr>
        <w:t>投标的澄清</w:t>
      </w:r>
      <w:bookmarkEnd w:id="131"/>
    </w:p>
    <w:p w14:paraId="33BAC025">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评标期间，为有助于对投标文件的审查、评价和比较，评委会有权要求投标人对其投标文件进行澄清，但并非对每个投标人都作澄清要求。</w:t>
      </w:r>
    </w:p>
    <w:p w14:paraId="112F6C98">
      <w:pPr>
        <w:numPr>
          <w:ilvl w:val="1"/>
          <w:numId w:val="7"/>
        </w:numPr>
        <w:spacing w:line="400" w:lineRule="exact"/>
        <w:ind w:firstLine="508"/>
        <w:jc w:val="left"/>
        <w:rPr>
          <w:rFonts w:ascii="宋体" w:hAnsi="宋体" w:cs="宋体"/>
          <w:spacing w:val="7"/>
          <w:sz w:val="24"/>
        </w:rPr>
      </w:pPr>
      <w:r>
        <w:rPr>
          <w:rStyle w:val="275"/>
          <w:rFonts w:hint="eastAsia" w:ascii="宋体" w:hAnsi="宋体" w:cs="宋体"/>
          <w:spacing w:val="7"/>
          <w:sz w:val="24"/>
        </w:rPr>
        <w:t>接到评委会澄清要求的投标人应该派人按评委会通知的时间和格式在系统中澄清，澄清的内容须由投标人法定代表人（或负责人）或被授权代表签署，并作为投标文件的补充部分，但投标的价格和实质性的内容不得做任何修改。</w:t>
      </w:r>
    </w:p>
    <w:p w14:paraId="2949390D">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需要供应商进行澄清、说明和补正的，评委会将通过苏采云系统向供应商发出“澄清要求函”，接到“澄清要求函”的投标人应当按照要求</w:t>
      </w:r>
      <w:r>
        <w:rPr>
          <w:rStyle w:val="275"/>
          <w:rFonts w:hint="eastAsia" w:ascii="宋体" w:hAnsi="宋体" w:cs="宋体"/>
          <w:spacing w:val="7"/>
          <w:sz w:val="24"/>
          <w:lang w:val="zh-CN"/>
        </w:rPr>
        <w:t>在规定时间内</w:t>
      </w:r>
      <w:r>
        <w:rPr>
          <w:rStyle w:val="275"/>
          <w:rFonts w:hint="eastAsia" w:ascii="宋体" w:hAnsi="宋体" w:cs="宋体"/>
          <w:spacing w:val="7"/>
          <w:sz w:val="24"/>
        </w:rPr>
        <w:t>在</w:t>
      </w:r>
      <w:r>
        <w:rPr>
          <w:rFonts w:hint="eastAsia" w:ascii="宋体" w:hAnsi="宋体" w:cs="宋体"/>
          <w:spacing w:val="7"/>
          <w:sz w:val="24"/>
        </w:rPr>
        <w:t>苏采云系统中提交“澄清响应函”并加盖CA电子公章。澄清、说明和补正的内容作为投标文件的补充部分。</w:t>
      </w:r>
      <w:r>
        <w:rPr>
          <w:rStyle w:val="275"/>
          <w:rFonts w:hint="eastAsia" w:ascii="宋体" w:hAnsi="宋体" w:cs="宋体"/>
          <w:spacing w:val="7"/>
          <w:sz w:val="24"/>
          <w:lang w:val="zh-CN"/>
        </w:rPr>
        <w:t>此处规定时间的计算以系统中的倒计时间为准，供应商应随时保持系统在线，如因供应商自身原因未在规定时间内提交澄清确认资料的，导致的不利后果由供应商自行承担。</w:t>
      </w:r>
    </w:p>
    <w:p w14:paraId="04C2F3A7">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接到评委会澄清要求的投标人如未按规定做出澄清，其风险由投标人自行承担。</w:t>
      </w:r>
    </w:p>
    <w:p w14:paraId="44E56E94">
      <w:pPr>
        <w:numPr>
          <w:ilvl w:val="0"/>
          <w:numId w:val="7"/>
        </w:numPr>
        <w:spacing w:line="400" w:lineRule="exact"/>
        <w:ind w:firstLine="241"/>
        <w:jc w:val="left"/>
        <w:outlineLvl w:val="2"/>
        <w:rPr>
          <w:rFonts w:ascii="宋体" w:hAnsi="宋体" w:cs="宋体"/>
          <w:b/>
          <w:bCs/>
          <w:sz w:val="24"/>
        </w:rPr>
      </w:pPr>
      <w:bookmarkStart w:id="132" w:name="_Toc13348"/>
      <w:r>
        <w:rPr>
          <w:rFonts w:hint="eastAsia" w:ascii="宋体" w:hAnsi="宋体" w:cs="宋体"/>
          <w:b/>
          <w:bCs/>
          <w:sz w:val="24"/>
        </w:rPr>
        <w:t>对投标文件的初审</w:t>
      </w:r>
      <w:bookmarkEnd w:id="132"/>
    </w:p>
    <w:p w14:paraId="3AE1653A">
      <w:pPr>
        <w:numPr>
          <w:ilvl w:val="1"/>
          <w:numId w:val="7"/>
        </w:numPr>
        <w:spacing w:line="400" w:lineRule="exact"/>
        <w:ind w:firstLine="508"/>
        <w:jc w:val="left"/>
        <w:rPr>
          <w:rFonts w:ascii="宋体" w:hAnsi="宋体" w:cs="宋体"/>
          <w:sz w:val="24"/>
        </w:rPr>
      </w:pPr>
      <w:r>
        <w:rPr>
          <w:rFonts w:hint="eastAsia" w:ascii="宋体" w:hAnsi="宋体" w:cs="宋体"/>
          <w:spacing w:val="7"/>
          <w:sz w:val="24"/>
        </w:rPr>
        <w:t>投标文件初审分为资格审查和符合性审查。</w:t>
      </w:r>
    </w:p>
    <w:p w14:paraId="1F494ABE">
      <w:pPr>
        <w:numPr>
          <w:ilvl w:val="2"/>
          <w:numId w:val="7"/>
        </w:numPr>
        <w:spacing w:line="400" w:lineRule="exact"/>
        <w:ind w:firstLine="508"/>
        <w:jc w:val="left"/>
        <w:rPr>
          <w:rFonts w:ascii="宋体" w:hAnsi="宋体" w:cs="宋体"/>
          <w:sz w:val="24"/>
        </w:rPr>
      </w:pPr>
      <w:r>
        <w:rPr>
          <w:rFonts w:hint="eastAsia" w:ascii="宋体" w:hAnsi="宋体" w:cs="宋体"/>
          <w:spacing w:val="7"/>
          <w:sz w:val="24"/>
        </w:rPr>
        <w:t>资格性审查：采购人或者采购代理机构依法对投标人的资格进行审查。</w:t>
      </w:r>
    </w:p>
    <w:p w14:paraId="18FFBDDA">
      <w:pPr>
        <w:numPr>
          <w:ilvl w:val="3"/>
          <w:numId w:val="7"/>
        </w:numPr>
        <w:spacing w:line="400" w:lineRule="exact"/>
        <w:ind w:firstLine="508"/>
        <w:jc w:val="left"/>
        <w:rPr>
          <w:rFonts w:ascii="宋体" w:hAnsi="宋体" w:cs="宋体"/>
          <w:sz w:val="24"/>
          <w:lang w:val="zh-CN"/>
        </w:rPr>
      </w:pPr>
      <w:r>
        <w:rPr>
          <w:rFonts w:hint="eastAsia" w:ascii="宋体" w:hAnsi="宋体" w:cs="宋体"/>
          <w:spacing w:val="7"/>
          <w:sz w:val="24"/>
          <w:lang w:val="zh-CN"/>
        </w:rPr>
        <w:t>关于信用查询：</w:t>
      </w:r>
    </w:p>
    <w:p w14:paraId="68FF2C4D">
      <w:pPr>
        <w:numPr>
          <w:ilvl w:val="4"/>
          <w:numId w:val="7"/>
        </w:numPr>
        <w:spacing w:line="400" w:lineRule="exact"/>
        <w:ind w:firstLine="480"/>
        <w:jc w:val="left"/>
        <w:rPr>
          <w:rFonts w:ascii="宋体" w:hAnsi="宋体" w:cs="宋体"/>
          <w:sz w:val="24"/>
          <w:lang w:val="zh-CN"/>
        </w:rPr>
      </w:pPr>
      <w:r>
        <w:rPr>
          <w:rFonts w:hint="eastAsia" w:ascii="宋体" w:hAnsi="宋体" w:cs="宋体"/>
          <w:sz w:val="24"/>
          <w:lang w:val="zh-CN"/>
        </w:rPr>
        <w:t>根据政府采购法及相关法规，以及苏州市财政局《关于印发苏州市市级政府采购信用记录查询和使用工作试行办法的通知》（苏财购（2017）11号）文件的规定，将对供应商进行信用查询。</w:t>
      </w:r>
    </w:p>
    <w:p w14:paraId="52B32950">
      <w:pPr>
        <w:numPr>
          <w:ilvl w:val="4"/>
          <w:numId w:val="7"/>
        </w:numPr>
        <w:spacing w:line="400" w:lineRule="exact"/>
        <w:ind w:firstLine="480"/>
        <w:jc w:val="left"/>
        <w:rPr>
          <w:rFonts w:ascii="宋体" w:hAnsi="宋体" w:cs="宋体"/>
          <w:sz w:val="24"/>
          <w:lang w:val="zh-CN"/>
        </w:rPr>
      </w:pPr>
      <w:r>
        <w:rPr>
          <w:rFonts w:hint="eastAsia" w:ascii="宋体" w:hAnsi="宋体" w:cs="宋体"/>
          <w:sz w:val="24"/>
          <w:lang w:val="zh-CN"/>
        </w:rPr>
        <w:t>查询时间：投标文件提交截止时间。</w:t>
      </w:r>
    </w:p>
    <w:p w14:paraId="19600947">
      <w:pPr>
        <w:numPr>
          <w:ilvl w:val="4"/>
          <w:numId w:val="7"/>
        </w:numPr>
        <w:spacing w:line="400" w:lineRule="exact"/>
        <w:ind w:firstLine="480"/>
        <w:jc w:val="left"/>
        <w:rPr>
          <w:rFonts w:ascii="宋体" w:hAnsi="宋体" w:cs="宋体"/>
          <w:sz w:val="24"/>
          <w:lang w:val="zh-CN"/>
        </w:rPr>
      </w:pPr>
      <w:r>
        <w:rPr>
          <w:rFonts w:hint="eastAsia" w:ascii="宋体" w:hAnsi="宋体" w:cs="宋体"/>
          <w:sz w:val="24"/>
          <w:lang w:val="zh-CN"/>
        </w:rPr>
        <w:t>查询渠道：将在“信用中国”网站查询投标人的信用记录，以确定投标人是否具备投标资格。</w:t>
      </w:r>
    </w:p>
    <w:p w14:paraId="2453EF18">
      <w:pPr>
        <w:numPr>
          <w:ilvl w:val="4"/>
          <w:numId w:val="7"/>
        </w:numPr>
        <w:spacing w:line="400" w:lineRule="exact"/>
        <w:ind w:firstLine="480"/>
        <w:jc w:val="left"/>
        <w:rPr>
          <w:rFonts w:ascii="宋体" w:hAnsi="宋体" w:cs="宋体"/>
          <w:sz w:val="24"/>
          <w:lang w:val="zh-CN"/>
        </w:rPr>
      </w:pPr>
      <w:r>
        <w:rPr>
          <w:rFonts w:hint="eastAsia" w:ascii="宋体" w:hAnsi="宋体" w:cs="宋体"/>
          <w:sz w:val="24"/>
          <w:lang w:val="zh-CN"/>
        </w:rPr>
        <w:t>接受联合体的项目，两个以上的自然人、法人或者其他组织组成一个联合体，以一个供应商的身份共同参加政府采购活动的,联合体成员存在不良信用记录的，视同联合体存在不良应用记录。</w:t>
      </w:r>
    </w:p>
    <w:p w14:paraId="656212FD">
      <w:pPr>
        <w:numPr>
          <w:ilvl w:val="2"/>
          <w:numId w:val="7"/>
        </w:numPr>
        <w:spacing w:line="400" w:lineRule="exact"/>
        <w:ind w:firstLine="508"/>
        <w:jc w:val="left"/>
        <w:rPr>
          <w:rFonts w:ascii="宋体" w:hAnsi="宋体" w:cs="宋体"/>
          <w:bCs/>
          <w:sz w:val="24"/>
        </w:rPr>
      </w:pPr>
      <w:r>
        <w:rPr>
          <w:rFonts w:hint="eastAsia" w:ascii="宋体" w:hAnsi="宋体" w:cs="宋体"/>
          <w:spacing w:val="7"/>
          <w:sz w:val="24"/>
        </w:rPr>
        <w:t>符合性审查：</w:t>
      </w:r>
      <w:r>
        <w:rPr>
          <w:rFonts w:hint="eastAsia" w:ascii="宋体" w:hAnsi="宋体" w:cs="宋体"/>
          <w:bCs/>
          <w:sz w:val="24"/>
        </w:rPr>
        <w:t>依据招标文件的规定，由评委会对投标文件进行审查，以确定是否对招标文件的实质性要求作出响应。</w:t>
      </w:r>
    </w:p>
    <w:p w14:paraId="739F5F07">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在详细评标之前，评委会将首先审查每份投标文件是否实质性响应了招标文件的要求。实质性响应的投标应该是与招标文件要求的全部条款、条件和规格相符，没有重大偏离或保留的投标。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p>
    <w:p w14:paraId="5C8905A5">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如果投标文件实质上没有响应招标文件的要求，评委会将予以拒绝，投标人不得通过修改或撤销不符合要求的偏离或保留而使其投标成为实质性响应的投标。</w:t>
      </w:r>
    </w:p>
    <w:p w14:paraId="49AE1866">
      <w:pPr>
        <w:numPr>
          <w:ilvl w:val="1"/>
          <w:numId w:val="7"/>
        </w:numPr>
        <w:spacing w:line="400" w:lineRule="exact"/>
        <w:ind w:firstLine="508"/>
        <w:jc w:val="left"/>
        <w:rPr>
          <w:rFonts w:ascii="宋体" w:hAnsi="宋体" w:cs="宋体"/>
          <w:spacing w:val="7"/>
          <w:sz w:val="24"/>
        </w:rPr>
      </w:pPr>
      <w:bookmarkStart w:id="133" w:name="_Toc10736"/>
      <w:r>
        <w:rPr>
          <w:rFonts w:hint="eastAsia" w:ascii="宋体" w:hAnsi="宋体" w:cs="宋体"/>
          <w:spacing w:val="7"/>
          <w:sz w:val="24"/>
        </w:rPr>
        <w:t>根据苏财购〔2025〕62号《关于推动解决政府采购异常低价问题相关工作的通知》，评审过程中出现下列情形之一的，评审委员会应当启动异常低价投标（响应）审查程序：</w:t>
      </w:r>
    </w:p>
    <w:p w14:paraId="7E5F4A4F">
      <w:pPr>
        <w:spacing w:line="400" w:lineRule="exact"/>
        <w:ind w:firstLine="508" w:firstLineChars="200"/>
        <w:jc w:val="left"/>
        <w:rPr>
          <w:rFonts w:ascii="宋体" w:hAnsi="宋体" w:cs="宋体"/>
          <w:spacing w:val="7"/>
          <w:sz w:val="24"/>
        </w:rPr>
      </w:pPr>
      <w:r>
        <w:rPr>
          <w:rFonts w:hint="eastAsia" w:ascii="宋体" w:hAnsi="宋体" w:cs="宋体"/>
          <w:spacing w:val="7"/>
          <w:sz w:val="24"/>
        </w:rPr>
        <w:t>（1）投标（响应）报价低于采购项目预算50%的，即投标（响应）报价&lt;采购项目预算×50%；</w:t>
      </w:r>
    </w:p>
    <w:p w14:paraId="6AE62F92">
      <w:pPr>
        <w:spacing w:line="400" w:lineRule="exact"/>
        <w:ind w:firstLine="508" w:firstLineChars="200"/>
        <w:jc w:val="left"/>
        <w:rPr>
          <w:rFonts w:ascii="宋体" w:hAnsi="宋体" w:cs="宋体"/>
          <w:spacing w:val="7"/>
          <w:sz w:val="24"/>
        </w:rPr>
      </w:pPr>
      <w:r>
        <w:rPr>
          <w:rFonts w:hint="eastAsia" w:ascii="宋体" w:hAnsi="宋体" w:cs="宋体"/>
          <w:spacing w:val="7"/>
          <w:sz w:val="24"/>
        </w:rPr>
        <w:t>（2）投标（响应）报价低于采购项目最高限45%的，即投标（响应）报价&lt;采购项目最高限价×45%；</w:t>
      </w:r>
    </w:p>
    <w:p w14:paraId="6A9ED4B9">
      <w:pPr>
        <w:spacing w:line="400" w:lineRule="exact"/>
        <w:ind w:firstLine="508" w:firstLineChars="200"/>
        <w:jc w:val="left"/>
        <w:rPr>
          <w:rFonts w:ascii="宋体" w:hAnsi="宋体" w:cs="宋体"/>
          <w:spacing w:val="7"/>
          <w:sz w:val="24"/>
        </w:rPr>
      </w:pPr>
      <w:r>
        <w:rPr>
          <w:rFonts w:hint="eastAsia" w:ascii="宋体" w:hAnsi="宋体" w:cs="宋体"/>
          <w:spacing w:val="7"/>
          <w:sz w:val="24"/>
        </w:rPr>
        <w:t>（3）评审委员会认定的供应商报价过低、有可能影响产品质量或者不能诚信履约的其他情形。</w:t>
      </w:r>
    </w:p>
    <w:p w14:paraId="3BEE373F">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7F61FB6">
      <w:pPr>
        <w:numPr>
          <w:ilvl w:val="1"/>
          <w:numId w:val="7"/>
        </w:numPr>
        <w:spacing w:line="400" w:lineRule="exact"/>
        <w:ind w:firstLine="508"/>
        <w:jc w:val="left"/>
        <w:rPr>
          <w:rFonts w:ascii="宋体" w:hAnsi="宋体" w:cs="宋体"/>
          <w:bCs/>
          <w:sz w:val="24"/>
        </w:rPr>
      </w:pPr>
      <w:r>
        <w:rPr>
          <w:rFonts w:hint="eastAsia" w:ascii="宋体" w:hAnsi="宋体" w:cs="宋体"/>
          <w:spacing w:val="7"/>
          <w:sz w:val="24"/>
        </w:rPr>
        <w:t>投标文件报价出现前后不一致的，按下列规定修正：</w:t>
      </w:r>
    </w:p>
    <w:p w14:paraId="09975D15">
      <w:pPr>
        <w:spacing w:line="400" w:lineRule="exact"/>
        <w:ind w:firstLine="508" w:firstLineChars="200"/>
        <w:jc w:val="left"/>
        <w:rPr>
          <w:rFonts w:ascii="宋体" w:hAnsi="宋体" w:cs="宋体"/>
          <w:spacing w:val="7"/>
          <w:sz w:val="24"/>
        </w:rPr>
      </w:pPr>
      <w:r>
        <w:rPr>
          <w:rFonts w:hint="eastAsia" w:ascii="宋体" w:hAnsi="宋体" w:cs="宋体"/>
          <w:spacing w:val="7"/>
          <w:sz w:val="24"/>
        </w:rPr>
        <w:t>（1）投标文件中开标一览表（报价表）内容与投标文件中相应内容不一致的，以开标一览表（报价表）为准；</w:t>
      </w:r>
    </w:p>
    <w:p w14:paraId="4DBCA7AB">
      <w:pPr>
        <w:spacing w:line="400" w:lineRule="exact"/>
        <w:ind w:firstLine="508" w:firstLineChars="200"/>
        <w:jc w:val="left"/>
        <w:rPr>
          <w:rFonts w:ascii="宋体" w:hAnsi="宋体" w:cs="宋体"/>
          <w:spacing w:val="7"/>
          <w:sz w:val="24"/>
        </w:rPr>
      </w:pPr>
      <w:r>
        <w:rPr>
          <w:rFonts w:hint="eastAsia" w:ascii="宋体" w:hAnsi="宋体" w:cs="宋体"/>
          <w:spacing w:val="7"/>
          <w:sz w:val="24"/>
        </w:rPr>
        <w:t>（2）大写金额和小写金额不一致的，以大写金额为准；</w:t>
      </w:r>
    </w:p>
    <w:p w14:paraId="5EE44922">
      <w:pPr>
        <w:spacing w:line="400" w:lineRule="exact"/>
        <w:ind w:firstLine="508" w:firstLineChars="200"/>
        <w:jc w:val="left"/>
        <w:rPr>
          <w:rFonts w:ascii="宋体" w:hAnsi="宋体" w:cs="宋体"/>
          <w:spacing w:val="7"/>
          <w:sz w:val="24"/>
        </w:rPr>
      </w:pPr>
      <w:r>
        <w:rPr>
          <w:rFonts w:hint="eastAsia" w:ascii="宋体" w:hAnsi="宋体" w:cs="宋体"/>
          <w:spacing w:val="7"/>
          <w:sz w:val="24"/>
        </w:rPr>
        <w:t>（3）单价金额小数点或者百分比有明显错位的，以开标一览表的总价为准，并修改单价；</w:t>
      </w:r>
    </w:p>
    <w:p w14:paraId="7A5AFF76">
      <w:pPr>
        <w:spacing w:line="400" w:lineRule="exact"/>
        <w:ind w:firstLine="508" w:firstLineChars="200"/>
        <w:jc w:val="left"/>
        <w:rPr>
          <w:rFonts w:ascii="宋体" w:hAnsi="宋体" w:cs="宋体"/>
          <w:spacing w:val="7"/>
          <w:sz w:val="24"/>
        </w:rPr>
      </w:pPr>
      <w:r>
        <w:rPr>
          <w:rFonts w:hint="eastAsia" w:ascii="宋体" w:hAnsi="宋体" w:cs="宋体"/>
          <w:spacing w:val="7"/>
          <w:sz w:val="24"/>
        </w:rPr>
        <w:t>（4）总价金额与按单价汇总金额不一致的，以单价金额计算结果为准。</w:t>
      </w:r>
    </w:p>
    <w:p w14:paraId="09D4A98F">
      <w:pPr>
        <w:spacing w:line="400" w:lineRule="exact"/>
        <w:ind w:firstLine="480"/>
        <w:jc w:val="left"/>
        <w:rPr>
          <w:rFonts w:ascii="宋体" w:hAnsi="宋体" w:cs="宋体"/>
          <w:sz w:val="24"/>
        </w:rPr>
      </w:pPr>
      <w:r>
        <w:rPr>
          <w:rFonts w:hint="eastAsia" w:ascii="宋体" w:hAnsi="宋体" w:cs="宋体"/>
          <w:sz w:val="24"/>
        </w:rPr>
        <w:t>同时出现两种以上不一致的，按照前款规定的顺序修正。修正后的报价按照财政部87号令第五十一条第二款的规定通过苏采云系统告知投标人并经投标人确认后产生约束力。如果投标人不接受修正后的价格，则其投标将被拒绝。</w:t>
      </w:r>
    </w:p>
    <w:p w14:paraId="5C6E6024">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评委会将允许修正投标文件中不构成重大偏离的、微小的、非正规的、不一致的或不规则的地方，但这些修改不能影响任何投标人相应的名次排列。</w:t>
      </w:r>
    </w:p>
    <w:p w14:paraId="50AB29F0">
      <w:pPr>
        <w:numPr>
          <w:ilvl w:val="1"/>
          <w:numId w:val="7"/>
        </w:numPr>
        <w:spacing w:line="400" w:lineRule="exact"/>
        <w:ind w:firstLine="508"/>
        <w:jc w:val="left"/>
      </w:pPr>
      <w:r>
        <w:rPr>
          <w:rFonts w:hint="eastAsia" w:ascii="宋体" w:hAnsi="宋体" w:cs="宋体"/>
          <w:spacing w:val="7"/>
          <w:sz w:val="24"/>
        </w:rPr>
        <w:t>投标人在开、评标全过程中应保持通讯畅通，及时登录苏采云系统查阅、答复相关信息，并安排专人与采购代理机构及评标委员会联系。</w:t>
      </w:r>
    </w:p>
    <w:p w14:paraId="4694BF73">
      <w:pPr>
        <w:numPr>
          <w:ilvl w:val="0"/>
          <w:numId w:val="7"/>
        </w:numPr>
        <w:spacing w:line="400" w:lineRule="exact"/>
        <w:ind w:firstLine="241"/>
        <w:jc w:val="left"/>
        <w:outlineLvl w:val="2"/>
        <w:rPr>
          <w:rFonts w:ascii="宋体" w:hAnsi="宋体" w:cs="宋体"/>
          <w:b/>
          <w:bCs/>
          <w:sz w:val="24"/>
        </w:rPr>
      </w:pPr>
      <w:r>
        <w:rPr>
          <w:rFonts w:hint="eastAsia" w:ascii="宋体" w:hAnsi="宋体" w:cs="宋体"/>
          <w:b/>
          <w:bCs/>
          <w:sz w:val="24"/>
        </w:rPr>
        <w:t>无效投标条款和废标条款</w:t>
      </w:r>
      <w:bookmarkEnd w:id="133"/>
    </w:p>
    <w:p w14:paraId="3D1C4AD5">
      <w:pPr>
        <w:numPr>
          <w:ilvl w:val="1"/>
          <w:numId w:val="7"/>
        </w:numPr>
        <w:spacing w:line="400" w:lineRule="exact"/>
        <w:ind w:firstLine="510"/>
        <w:jc w:val="left"/>
        <w:rPr>
          <w:rFonts w:ascii="宋体" w:hAnsi="宋体" w:cs="宋体"/>
          <w:b/>
          <w:bCs/>
          <w:spacing w:val="7"/>
          <w:sz w:val="24"/>
        </w:rPr>
      </w:pPr>
      <w:r>
        <w:rPr>
          <w:rFonts w:hint="eastAsia" w:ascii="宋体" w:hAnsi="宋体" w:cs="宋体"/>
          <w:b/>
          <w:bCs/>
          <w:spacing w:val="7"/>
          <w:sz w:val="24"/>
        </w:rPr>
        <w:t>无效投标条款</w:t>
      </w:r>
    </w:p>
    <w:p w14:paraId="5E0BCFFE">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投标人未按照招标文件要求上传电子投标文件的；</w:t>
      </w:r>
    </w:p>
    <w:p w14:paraId="3C17D80E">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投标人在规定时间内不解密投标文件或未成功解密投标文件的（因系统原因导致的除外)；</w:t>
      </w:r>
    </w:p>
    <w:p w14:paraId="0B688976">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 xml:space="preserve">投标文件中没有《开标一览表》或《开标一览表》未加盖投标人公章的； </w:t>
      </w:r>
    </w:p>
    <w:p w14:paraId="362CAB64">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投标文件中任何有选择的报价；</w:t>
      </w:r>
    </w:p>
    <w:p w14:paraId="72C86D0B">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 xml:space="preserve">投标文件报价出现前后不一致的，按招标文件规定修正后投标人不确认的； </w:t>
      </w:r>
    </w:p>
    <w:p w14:paraId="3C878FCA">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 xml:space="preserve">不同投标人的投标文件由同一单位或者个人编制； </w:t>
      </w:r>
    </w:p>
    <w:p w14:paraId="4750026C">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 xml:space="preserve">不同投标人委托同一单位或者个人办理投标事宜； </w:t>
      </w:r>
    </w:p>
    <w:p w14:paraId="588F4650">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不同投标人的投标文件载明的项目管理成员或者联系人员为同一人；</w:t>
      </w:r>
    </w:p>
    <w:p w14:paraId="13E3AC71">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不同投标人的投标文件异常一致或者投标报价呈规律性差异；</w:t>
      </w:r>
    </w:p>
    <w:p w14:paraId="73F6D9F2">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不同投标人的投标文件制作机器码一致的；</w:t>
      </w:r>
    </w:p>
    <w:p w14:paraId="3B79D164">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p>
    <w:p w14:paraId="148CE9F7">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凡“节能产品政府采购品目清单”中以★标注的政府强制采购产品，投标文件中未提供国家确定的认证机构出具的、处于有效期之内的节能产品认证证书的（若证书有附件（附录）的，附件（附录）须随证书一起提供)；</w:t>
      </w:r>
    </w:p>
    <w:p w14:paraId="0F8CE59F">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供应商被列入失信被执行人名单、重大税收违法案件当事人名单、政府采购严重违法失信行为记录名单以及其他不符合《中华人民共和国政府采购法》第二十二条规定条件的信用记录的；</w:t>
      </w:r>
    </w:p>
    <w:p w14:paraId="0B2E621B">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 xml:space="preserve">不同供应商的单位负责人为同一人或者存在直接控股、管理关系的； </w:t>
      </w:r>
    </w:p>
    <w:p w14:paraId="04F7AC0A">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为采购项目提供整体设计、规范编制或者项目管理、监理、检测等服务的；</w:t>
      </w:r>
    </w:p>
    <w:p w14:paraId="47E1ECBE">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 xml:space="preserve">资格证明文件中要求加盖公章而未加盖公章的； </w:t>
      </w:r>
    </w:p>
    <w:p w14:paraId="097E94B6">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 xml:space="preserve">投标文件未按招标文件要求签署、盖章的； </w:t>
      </w:r>
    </w:p>
    <w:p w14:paraId="6AED642F">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不具备招标文件中规定的资格要求或未按招标文件规定的要求提供资格证明文件的或未通过符合性审查的；</w:t>
      </w:r>
    </w:p>
    <w:p w14:paraId="33BB4451">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 xml:space="preserve">报价超过招标文件中规定的预算金额或者最高限价的； </w:t>
      </w:r>
    </w:p>
    <w:p w14:paraId="04168C57">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 xml:space="preserve">投标文件含有采购人不能接受的附加条件的； </w:t>
      </w:r>
    </w:p>
    <w:p w14:paraId="23CA4BE2">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 xml:space="preserve">不响应招标文件中规定的实质性要求的（本招标文件中斜体且有下划线部分为实质性要求）； </w:t>
      </w:r>
    </w:p>
    <w:p w14:paraId="2A55C058">
      <w:pPr>
        <w:numPr>
          <w:ilvl w:val="2"/>
          <w:numId w:val="7"/>
        </w:numPr>
        <w:spacing w:line="400" w:lineRule="exact"/>
        <w:ind w:firstLine="508"/>
        <w:jc w:val="left"/>
        <w:rPr>
          <w:rFonts w:ascii="宋体" w:hAnsi="宋体" w:cs="宋体"/>
          <w:bCs/>
          <w:sz w:val="24"/>
        </w:rPr>
      </w:pPr>
      <w:r>
        <w:rPr>
          <w:rFonts w:hint="eastAsia" w:ascii="宋体" w:hAnsi="宋体" w:cs="宋体"/>
          <w:spacing w:val="7"/>
          <w:sz w:val="24"/>
        </w:rPr>
        <w:t xml:space="preserve">法律、法规和采购文件规定的其他无效情形; </w:t>
      </w:r>
    </w:p>
    <w:p w14:paraId="6F343F97">
      <w:pPr>
        <w:numPr>
          <w:ilvl w:val="1"/>
          <w:numId w:val="7"/>
        </w:numPr>
        <w:spacing w:line="400" w:lineRule="exact"/>
        <w:ind w:firstLine="510"/>
        <w:jc w:val="left"/>
        <w:rPr>
          <w:rFonts w:ascii="宋体" w:hAnsi="宋体" w:cs="宋体"/>
          <w:b/>
          <w:bCs/>
          <w:spacing w:val="7"/>
        </w:rPr>
      </w:pPr>
      <w:r>
        <w:rPr>
          <w:rFonts w:hint="eastAsia" w:ascii="宋体" w:hAnsi="宋体" w:cs="宋体"/>
          <w:b/>
          <w:bCs/>
          <w:spacing w:val="7"/>
          <w:sz w:val="24"/>
        </w:rPr>
        <w:t>废标条款</w:t>
      </w:r>
    </w:p>
    <w:p w14:paraId="53A309A4">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符合专业条件的供应商或者对招标文件作实质响应的供应商不足三家的；</w:t>
      </w:r>
    </w:p>
    <w:p w14:paraId="117CC829">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出现影响采购公正的违法、违规行为的；</w:t>
      </w:r>
    </w:p>
    <w:p w14:paraId="12C9B693">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投标人的报价均超过了采购预算，采购人不能支付的；</w:t>
      </w:r>
    </w:p>
    <w:p w14:paraId="128E2392">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因重大变故，采购任务取消的；</w:t>
      </w:r>
    </w:p>
    <w:p w14:paraId="6AFB3B56">
      <w:pPr>
        <w:numPr>
          <w:ilvl w:val="2"/>
          <w:numId w:val="7"/>
        </w:numPr>
        <w:spacing w:line="400" w:lineRule="exact"/>
        <w:ind w:firstLine="508"/>
        <w:jc w:val="left"/>
        <w:rPr>
          <w:rFonts w:ascii="宋体" w:hAnsi="宋体" w:cs="宋体"/>
          <w:spacing w:val="7"/>
          <w:sz w:val="24"/>
        </w:rPr>
      </w:pPr>
      <w:r>
        <w:rPr>
          <w:rFonts w:hint="eastAsia" w:ascii="宋体" w:hAnsi="宋体" w:cs="宋体"/>
          <w:spacing w:val="7"/>
          <w:sz w:val="24"/>
        </w:rPr>
        <w:t>因苏采云系统系统故障原因造成开标不成功的。</w:t>
      </w:r>
    </w:p>
    <w:p w14:paraId="7CCE64F4">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投标截止时间结束后参加投标的供应商不足三家的处理：</w:t>
      </w:r>
    </w:p>
    <w:p w14:paraId="5C44708D">
      <w:pPr>
        <w:numPr>
          <w:ilvl w:val="2"/>
          <w:numId w:val="7"/>
        </w:numPr>
        <w:spacing w:line="400" w:lineRule="exact"/>
        <w:ind w:firstLine="508"/>
        <w:jc w:val="left"/>
        <w:rPr>
          <w:rFonts w:ascii="宋体" w:hAnsi="宋体" w:cs="宋体"/>
          <w:spacing w:val="7"/>
        </w:rPr>
      </w:pPr>
      <w:r>
        <w:rPr>
          <w:rFonts w:hint="eastAsia" w:ascii="宋体" w:hAnsi="宋体" w:cs="宋体"/>
          <w:spacing w:val="7"/>
          <w:sz w:val="24"/>
          <w:szCs w:val="32"/>
        </w:rPr>
        <w:t>如出现投标截止时间结束后参加投标的供应商或者在评标期间对招标文件做出实质响应的供应商不足三家情况</w:t>
      </w:r>
      <w:bookmarkStart w:id="134" w:name="_Toc256000007"/>
      <w:bookmarkStart w:id="135" w:name="_Toc54119651"/>
      <w:bookmarkStart w:id="136" w:name="_Toc35244873"/>
      <w:r>
        <w:rPr>
          <w:rFonts w:hint="eastAsia" w:ascii="宋体" w:hAnsi="宋体" w:cs="宋体"/>
          <w:spacing w:val="7"/>
          <w:sz w:val="24"/>
          <w:szCs w:val="32"/>
        </w:rPr>
        <w:t>，</w:t>
      </w:r>
      <w:r>
        <w:rPr>
          <w:rStyle w:val="203"/>
          <w:rFonts w:ascii="宋体" w:hAnsi="宋体" w:cs="宋体"/>
          <w:color w:val="000000"/>
          <w:spacing w:val="7"/>
          <w:sz w:val="24"/>
        </w:rPr>
        <w:t>按财政部第87号令第四十三条的规定执行</w:t>
      </w:r>
      <w:r>
        <w:rPr>
          <w:rFonts w:hint="eastAsia" w:ascii="宋体" w:hAnsi="宋体" w:cs="宋体"/>
          <w:spacing w:val="7"/>
          <w:sz w:val="24"/>
          <w:szCs w:val="32"/>
        </w:rPr>
        <w:t>。</w:t>
      </w:r>
    </w:p>
    <w:p w14:paraId="65F3EBB6">
      <w:pPr>
        <w:numPr>
          <w:ilvl w:val="1"/>
          <w:numId w:val="6"/>
        </w:numPr>
        <w:spacing w:line="400" w:lineRule="exact"/>
        <w:ind w:firstLine="0"/>
        <w:jc w:val="left"/>
        <w:outlineLvl w:val="1"/>
        <w:rPr>
          <w:rStyle w:val="230"/>
          <w:rFonts w:ascii="宋体" w:hAnsi="宋体" w:cs="宋体"/>
          <w:bCs w:val="0"/>
          <w:sz w:val="24"/>
          <w:szCs w:val="24"/>
        </w:rPr>
      </w:pPr>
      <w:bookmarkStart w:id="137" w:name="_Toc23197"/>
      <w:bookmarkStart w:id="138" w:name="_Toc24282"/>
      <w:bookmarkStart w:id="139" w:name="_Toc4706"/>
      <w:r>
        <w:rPr>
          <w:rStyle w:val="230"/>
          <w:rFonts w:hint="eastAsia" w:ascii="宋体" w:hAnsi="宋体" w:cs="宋体"/>
          <w:bCs w:val="0"/>
          <w:sz w:val="24"/>
          <w:szCs w:val="24"/>
        </w:rPr>
        <w:t>定标</w:t>
      </w:r>
      <w:bookmarkEnd w:id="134"/>
      <w:bookmarkEnd w:id="135"/>
      <w:bookmarkEnd w:id="136"/>
      <w:bookmarkEnd w:id="137"/>
      <w:bookmarkEnd w:id="138"/>
      <w:bookmarkEnd w:id="139"/>
    </w:p>
    <w:p w14:paraId="498901E1">
      <w:pPr>
        <w:numPr>
          <w:ilvl w:val="0"/>
          <w:numId w:val="7"/>
        </w:numPr>
        <w:spacing w:line="400" w:lineRule="exact"/>
        <w:ind w:firstLine="241"/>
        <w:jc w:val="left"/>
        <w:outlineLvl w:val="2"/>
        <w:rPr>
          <w:rFonts w:ascii="宋体" w:hAnsi="宋体" w:cs="宋体"/>
          <w:b/>
          <w:bCs/>
          <w:sz w:val="24"/>
        </w:rPr>
      </w:pPr>
      <w:bookmarkStart w:id="140" w:name="_Toc19094"/>
      <w:r>
        <w:rPr>
          <w:rFonts w:hint="eastAsia" w:ascii="宋体" w:hAnsi="宋体" w:cs="宋体"/>
          <w:b/>
          <w:bCs/>
          <w:sz w:val="24"/>
        </w:rPr>
        <w:t>确定中标单位</w:t>
      </w:r>
      <w:bookmarkEnd w:id="140"/>
    </w:p>
    <w:p w14:paraId="5F142A5C">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评委会根据本招标文件规定评标办法与评标标准向采购人推荐出3名中标候选人。</w:t>
      </w:r>
    </w:p>
    <w:p w14:paraId="60417AB9">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p>
    <w:p w14:paraId="6DE69C4C">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自中标人确定之日起2个工作日内，中标结果将在省级以上财政部门指定的媒体上进行公告，公告期限为1个工作日。</w:t>
      </w:r>
    </w:p>
    <w:p w14:paraId="02927D84">
      <w:pPr>
        <w:numPr>
          <w:ilvl w:val="1"/>
          <w:numId w:val="7"/>
        </w:numPr>
        <w:spacing w:line="400" w:lineRule="exact"/>
        <w:ind w:firstLine="508"/>
        <w:jc w:val="left"/>
        <w:rPr>
          <w:rFonts w:ascii="宋体" w:hAnsi="宋体" w:cs="宋体"/>
          <w:sz w:val="24"/>
        </w:rPr>
      </w:pPr>
      <w:r>
        <w:rPr>
          <w:rFonts w:hint="eastAsia" w:ascii="宋体" w:hAnsi="宋体" w:cs="宋体"/>
          <w:spacing w:val="7"/>
          <w:sz w:val="24"/>
        </w:rPr>
        <w:t>若有充分证据证明，中标人出现下列情况之一的，一经查实，</w:t>
      </w:r>
      <w:r>
        <w:rPr>
          <w:rFonts w:hint="eastAsia" w:ascii="宋体" w:hAnsi="宋体"/>
          <w:color w:val="000000"/>
          <w:sz w:val="24"/>
        </w:rPr>
        <w:t>中标无效</w:t>
      </w:r>
      <w:r>
        <w:rPr>
          <w:rFonts w:hint="eastAsia" w:ascii="宋体" w:hAnsi="宋体" w:cs="宋体"/>
          <w:spacing w:val="7"/>
          <w:sz w:val="24"/>
        </w:rPr>
        <w:t>：</w:t>
      </w:r>
    </w:p>
    <w:p w14:paraId="7D9BFFBC">
      <w:pPr>
        <w:numPr>
          <w:ilvl w:val="0"/>
          <w:numId w:val="10"/>
        </w:numPr>
        <w:spacing w:line="400" w:lineRule="exact"/>
        <w:ind w:firstLine="480"/>
        <w:jc w:val="left"/>
        <w:rPr>
          <w:rFonts w:ascii="宋体" w:hAnsi="宋体" w:cs="宋体"/>
          <w:sz w:val="24"/>
        </w:rPr>
      </w:pPr>
      <w:r>
        <w:rPr>
          <w:rFonts w:hint="eastAsia" w:ascii="宋体" w:hAnsi="宋体" w:cs="宋体"/>
          <w:sz w:val="24"/>
        </w:rPr>
        <w:t>提供虚假材料谋取中标的；</w:t>
      </w:r>
    </w:p>
    <w:p w14:paraId="088B9B4F">
      <w:pPr>
        <w:numPr>
          <w:ilvl w:val="0"/>
          <w:numId w:val="10"/>
        </w:numPr>
        <w:spacing w:line="400" w:lineRule="exact"/>
        <w:ind w:firstLine="480"/>
        <w:jc w:val="left"/>
        <w:rPr>
          <w:rFonts w:ascii="宋体" w:hAnsi="宋体" w:cs="宋体"/>
          <w:sz w:val="24"/>
        </w:rPr>
      </w:pPr>
      <w:r>
        <w:rPr>
          <w:rFonts w:hint="eastAsia" w:ascii="宋体" w:hAnsi="宋体"/>
          <w:color w:val="000000"/>
          <w:sz w:val="24"/>
          <w:lang w:val="zh-CN"/>
        </w:rPr>
        <w:t>采取不正当手段诋毁、排挤其他供应商的；</w:t>
      </w:r>
    </w:p>
    <w:p w14:paraId="00E8BE08">
      <w:pPr>
        <w:numPr>
          <w:ilvl w:val="0"/>
          <w:numId w:val="10"/>
        </w:numPr>
        <w:spacing w:line="400" w:lineRule="exact"/>
        <w:ind w:firstLine="480"/>
        <w:jc w:val="left"/>
        <w:rPr>
          <w:rFonts w:ascii="宋体" w:hAnsi="宋体" w:cs="宋体"/>
          <w:sz w:val="24"/>
        </w:rPr>
      </w:pPr>
      <w:r>
        <w:rPr>
          <w:rFonts w:hint="eastAsia" w:ascii="宋体" w:hAnsi="宋体" w:cs="宋体"/>
          <w:sz w:val="24"/>
        </w:rPr>
        <w:t>与评审专家、采购人、其他供应商或者代理机构工作人员恶意串通的；</w:t>
      </w:r>
    </w:p>
    <w:p w14:paraId="5F7DCBD6">
      <w:pPr>
        <w:numPr>
          <w:ilvl w:val="0"/>
          <w:numId w:val="10"/>
        </w:numPr>
        <w:spacing w:line="400" w:lineRule="exact"/>
        <w:ind w:firstLine="480"/>
        <w:jc w:val="left"/>
        <w:rPr>
          <w:rFonts w:ascii="宋体" w:hAnsi="宋体" w:cs="宋体"/>
          <w:sz w:val="24"/>
        </w:rPr>
      </w:pPr>
      <w:r>
        <w:rPr>
          <w:rFonts w:hint="eastAsia" w:ascii="宋体" w:hAnsi="宋体" w:cs="宋体"/>
          <w:sz w:val="24"/>
        </w:rPr>
        <w:t>向评审专家、采购人或代理机构工作人员行贿或者提供其他不正当利益的；</w:t>
      </w:r>
    </w:p>
    <w:p w14:paraId="5ED32702">
      <w:pPr>
        <w:numPr>
          <w:ilvl w:val="0"/>
          <w:numId w:val="10"/>
        </w:numPr>
        <w:spacing w:line="400" w:lineRule="exact"/>
        <w:ind w:firstLine="480"/>
        <w:jc w:val="left"/>
        <w:rPr>
          <w:rFonts w:ascii="宋体" w:hAnsi="宋体" w:cs="宋体"/>
          <w:sz w:val="24"/>
        </w:rPr>
      </w:pPr>
      <w:r>
        <w:rPr>
          <w:rFonts w:hint="eastAsia" w:ascii="宋体" w:hAnsi="宋体" w:cs="宋体"/>
          <w:sz w:val="24"/>
        </w:rPr>
        <w:t>在招标采购过程中与采购人进行协商谈判的；</w:t>
      </w:r>
    </w:p>
    <w:p w14:paraId="7BFCEF06">
      <w:pPr>
        <w:numPr>
          <w:ilvl w:val="0"/>
          <w:numId w:val="10"/>
        </w:numPr>
        <w:spacing w:line="400" w:lineRule="exact"/>
        <w:ind w:firstLine="480"/>
        <w:jc w:val="left"/>
        <w:rPr>
          <w:rFonts w:ascii="宋体" w:hAnsi="宋体" w:cs="宋体"/>
          <w:sz w:val="24"/>
        </w:rPr>
      </w:pPr>
      <w:r>
        <w:rPr>
          <w:rFonts w:hint="eastAsia" w:ascii="宋体" w:hAnsi="宋体" w:cs="宋体"/>
          <w:sz w:val="24"/>
        </w:rPr>
        <w:t>其他不符合法律、法规规定的。</w:t>
      </w:r>
    </w:p>
    <w:p w14:paraId="0A0F2242">
      <w:pPr>
        <w:numPr>
          <w:ilvl w:val="0"/>
          <w:numId w:val="7"/>
        </w:numPr>
        <w:spacing w:line="400" w:lineRule="exact"/>
        <w:ind w:firstLine="241"/>
        <w:jc w:val="left"/>
        <w:outlineLvl w:val="2"/>
        <w:rPr>
          <w:rFonts w:ascii="宋体" w:hAnsi="宋体" w:cs="宋体"/>
          <w:b/>
          <w:bCs/>
          <w:sz w:val="24"/>
        </w:rPr>
      </w:pPr>
      <w:bookmarkStart w:id="141" w:name="_Toc3103"/>
      <w:r>
        <w:rPr>
          <w:rFonts w:hint="eastAsia" w:ascii="宋体" w:hAnsi="宋体" w:cs="宋体"/>
          <w:b/>
          <w:bCs/>
          <w:sz w:val="24"/>
        </w:rPr>
        <w:t>质疑</w:t>
      </w:r>
      <w:bookmarkEnd w:id="141"/>
    </w:p>
    <w:p w14:paraId="1C03ED06">
      <w:pPr>
        <w:numPr>
          <w:ilvl w:val="1"/>
          <w:numId w:val="7"/>
        </w:numPr>
        <w:spacing w:line="400" w:lineRule="exact"/>
        <w:ind w:firstLine="480"/>
        <w:jc w:val="left"/>
        <w:rPr>
          <w:rFonts w:ascii="宋体" w:hAnsi="宋体" w:cs="宋体"/>
          <w:sz w:val="24"/>
        </w:rPr>
      </w:pPr>
      <w:r>
        <w:rPr>
          <w:rFonts w:hint="eastAsia" w:ascii="宋体" w:hAnsi="宋体" w:cs="宋体"/>
          <w:sz w:val="24"/>
        </w:rPr>
        <w:t>质疑形式</w:t>
      </w:r>
    </w:p>
    <w:p w14:paraId="30CC0DED">
      <w:pPr>
        <w:numPr>
          <w:ilvl w:val="2"/>
          <w:numId w:val="7"/>
        </w:numPr>
        <w:spacing w:line="400" w:lineRule="exact"/>
        <w:ind w:firstLine="480"/>
        <w:jc w:val="left"/>
        <w:rPr>
          <w:rFonts w:ascii="宋体" w:hAnsi="宋体" w:cs="宋体"/>
          <w:sz w:val="24"/>
        </w:rPr>
      </w:pPr>
      <w:r>
        <w:rPr>
          <w:rFonts w:hint="eastAsia" w:ascii="宋体" w:hAnsi="宋体" w:cs="宋体"/>
          <w:sz w:val="24"/>
        </w:rPr>
        <w:t>供应商认为采购文件、采购过程和中标结果使自己的合法权益受到损害的，可以在知道或者应当知道其权益受到损害之日起七个工作日内。通过书面形式提出质疑，涉及采购方式、采购需求、供应商资格条件、评标方法和评标标准、合同文本，向采购单位提出；涉及采购程序问题的，向采购代理机构提出。</w:t>
      </w:r>
    </w:p>
    <w:p w14:paraId="0A96084F">
      <w:pPr>
        <w:numPr>
          <w:ilvl w:val="2"/>
          <w:numId w:val="7"/>
        </w:numPr>
        <w:spacing w:line="400" w:lineRule="exact"/>
        <w:ind w:firstLine="480"/>
        <w:jc w:val="left"/>
        <w:rPr>
          <w:rFonts w:ascii="宋体" w:hAnsi="宋体" w:cs="宋体"/>
          <w:sz w:val="24"/>
        </w:rPr>
      </w:pPr>
      <w:r>
        <w:rPr>
          <w:rFonts w:hint="eastAsia" w:ascii="宋体" w:hAnsi="宋体" w:cs="宋体"/>
          <w:sz w:val="24"/>
        </w:rPr>
        <w:t>质疑必须按《政府采购法》、《政府采购法实施条例》及财政部94号令的相关规定提交，未按上述要求提交的质疑函张家港市旭达咨询有限公司有权不予受理。</w:t>
      </w:r>
    </w:p>
    <w:p w14:paraId="482BA0E8">
      <w:pPr>
        <w:numPr>
          <w:ilvl w:val="1"/>
          <w:numId w:val="7"/>
        </w:numPr>
        <w:spacing w:line="400" w:lineRule="exact"/>
        <w:ind w:firstLine="480"/>
        <w:jc w:val="left"/>
        <w:rPr>
          <w:rFonts w:ascii="宋体" w:hAnsi="宋体" w:cs="宋体"/>
          <w:sz w:val="24"/>
        </w:rPr>
      </w:pPr>
      <w:r>
        <w:rPr>
          <w:rFonts w:hint="eastAsia" w:ascii="宋体" w:hAnsi="宋体" w:cs="宋体"/>
          <w:sz w:val="24"/>
        </w:rPr>
        <w:t>特别提示</w:t>
      </w:r>
    </w:p>
    <w:p w14:paraId="0710E273">
      <w:pPr>
        <w:numPr>
          <w:ilvl w:val="2"/>
          <w:numId w:val="7"/>
        </w:numPr>
        <w:spacing w:line="400" w:lineRule="exact"/>
        <w:ind w:firstLine="480"/>
        <w:jc w:val="left"/>
        <w:rPr>
          <w:rFonts w:ascii="宋体" w:hAnsi="宋体" w:cs="宋体"/>
          <w:sz w:val="24"/>
        </w:rPr>
      </w:pPr>
      <w:r>
        <w:rPr>
          <w:rFonts w:hint="eastAsia" w:ascii="宋体" w:hAnsi="宋体" w:cs="宋体"/>
          <w:sz w:val="24"/>
        </w:rPr>
        <w:t>根据财政部94号令第十一条规定，提出质疑的供应商应当是参与所质疑项目采购活动的供应商。故对招标文件提出质疑的供应商，必须是依法获取招标文件的，请将合法获取招标文件时的“投标供应商确认函”证明材料与质疑函同时提交，否则将不予受理。</w:t>
      </w:r>
    </w:p>
    <w:p w14:paraId="5750EC5B">
      <w:pPr>
        <w:numPr>
          <w:ilvl w:val="2"/>
          <w:numId w:val="7"/>
        </w:numPr>
        <w:spacing w:line="400" w:lineRule="exact"/>
        <w:ind w:firstLine="480"/>
        <w:jc w:val="left"/>
        <w:rPr>
          <w:rFonts w:ascii="宋体" w:hAnsi="宋体" w:cs="宋体"/>
          <w:sz w:val="24"/>
        </w:rPr>
      </w:pPr>
      <w:r>
        <w:rPr>
          <w:rFonts w:hint="eastAsia" w:ascii="宋体" w:hAnsi="宋体" w:cs="宋体"/>
          <w:sz w:val="24"/>
        </w:rPr>
        <w:t>供应商在法定质疑期内应一次性提出针对同一采购程序环节的质疑。</w:t>
      </w:r>
    </w:p>
    <w:p w14:paraId="5CF9C599">
      <w:pPr>
        <w:numPr>
          <w:ilvl w:val="2"/>
          <w:numId w:val="7"/>
        </w:numPr>
        <w:spacing w:line="400" w:lineRule="exact"/>
        <w:ind w:firstLine="480"/>
        <w:jc w:val="left"/>
        <w:rPr>
          <w:rFonts w:ascii="宋体" w:hAnsi="宋体" w:cs="宋体"/>
          <w:sz w:val="24"/>
        </w:rPr>
      </w:pPr>
      <w:r>
        <w:rPr>
          <w:rFonts w:hint="eastAsia" w:ascii="宋体" w:hAnsi="宋体" w:cs="宋体"/>
          <w:sz w:val="24"/>
        </w:rPr>
        <w:t>供应商提出质疑必须有理、有据，不得恶意质疑或提交虚假质疑。否则，一经查实，采购人或张家港市旭达咨询有限公司有权依据政府采购的有关规定，报请政府采购监管部门对该投标人进行相应的行政处罚。</w:t>
      </w:r>
    </w:p>
    <w:p w14:paraId="6A5EA88C">
      <w:pPr>
        <w:numPr>
          <w:ilvl w:val="1"/>
          <w:numId w:val="7"/>
        </w:numPr>
        <w:spacing w:line="400" w:lineRule="exact"/>
        <w:ind w:firstLine="480"/>
        <w:jc w:val="left"/>
        <w:rPr>
          <w:rFonts w:ascii="宋体" w:hAnsi="宋体" w:cs="宋体"/>
          <w:sz w:val="24"/>
        </w:rPr>
      </w:pPr>
      <w:r>
        <w:rPr>
          <w:rFonts w:hint="eastAsia" w:ascii="宋体" w:hAnsi="宋体" w:cs="宋体"/>
          <w:sz w:val="24"/>
        </w:rPr>
        <w:t>其他</w:t>
      </w:r>
    </w:p>
    <w:p w14:paraId="20ED53F9">
      <w:pPr>
        <w:numPr>
          <w:ilvl w:val="2"/>
          <w:numId w:val="7"/>
        </w:numPr>
        <w:spacing w:line="400" w:lineRule="exact"/>
        <w:ind w:firstLine="480"/>
        <w:jc w:val="left"/>
        <w:rPr>
          <w:rFonts w:ascii="宋体" w:hAnsi="宋体" w:cs="宋体"/>
          <w:sz w:val="24"/>
        </w:rPr>
      </w:pPr>
      <w:r>
        <w:rPr>
          <w:rFonts w:hint="eastAsia" w:ascii="宋体" w:hAnsi="宋体" w:cs="宋体"/>
          <w:sz w:val="24"/>
        </w:rPr>
        <w:t>采购人或张家港市旭达咨询有限公司将在收到供应商的质疑后七个工作日内作出答复，答复的内容不涉及商业秘密。</w:t>
      </w:r>
    </w:p>
    <w:p w14:paraId="550F291D">
      <w:pPr>
        <w:numPr>
          <w:ilvl w:val="0"/>
          <w:numId w:val="7"/>
        </w:numPr>
        <w:spacing w:line="400" w:lineRule="exact"/>
        <w:ind w:firstLine="241"/>
        <w:jc w:val="left"/>
        <w:outlineLvl w:val="2"/>
        <w:rPr>
          <w:rFonts w:ascii="宋体" w:hAnsi="宋体" w:cs="宋体"/>
          <w:b/>
          <w:bCs/>
          <w:sz w:val="24"/>
        </w:rPr>
      </w:pPr>
      <w:bookmarkStart w:id="142" w:name="_Toc3291"/>
      <w:r>
        <w:rPr>
          <w:rFonts w:hint="eastAsia" w:ascii="宋体" w:hAnsi="宋体" w:cs="宋体"/>
          <w:b/>
          <w:bCs/>
          <w:sz w:val="24"/>
        </w:rPr>
        <w:t>中标通知书</w:t>
      </w:r>
      <w:bookmarkEnd w:id="142"/>
    </w:p>
    <w:p w14:paraId="2A05656C">
      <w:pPr>
        <w:numPr>
          <w:ilvl w:val="1"/>
          <w:numId w:val="7"/>
        </w:numPr>
        <w:spacing w:line="400" w:lineRule="exact"/>
        <w:ind w:firstLine="508"/>
        <w:jc w:val="left"/>
        <w:rPr>
          <w:rFonts w:ascii="宋体" w:hAnsi="宋体" w:cs="宋体"/>
          <w:color w:val="000000"/>
          <w:spacing w:val="7"/>
          <w:sz w:val="24"/>
        </w:rPr>
      </w:pPr>
      <w:r>
        <w:rPr>
          <w:rFonts w:hint="eastAsia" w:ascii="宋体" w:hAnsi="宋体" w:cs="宋体"/>
          <w:spacing w:val="7"/>
          <w:sz w:val="24"/>
        </w:rPr>
        <w:t>在中标结果确定后2个工作日内，代理机构向中标供应商发出中标通知书。</w:t>
      </w:r>
      <w:r>
        <w:rPr>
          <w:rFonts w:hint="eastAsia" w:ascii="宋体" w:hAnsi="宋体" w:cs="宋体"/>
          <w:color w:val="000000"/>
          <w:sz w:val="24"/>
        </w:rPr>
        <w:t>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91FDB2F">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中标通知书将是合同的一个组成部分。</w:t>
      </w:r>
      <w:r>
        <w:rPr>
          <w:rFonts w:hint="eastAsia" w:ascii="宋体" w:hAnsi="宋体" w:cs="宋体"/>
          <w:sz w:val="24"/>
        </w:rPr>
        <w:t>对采购人和</w:t>
      </w:r>
      <w:r>
        <w:rPr>
          <w:rFonts w:hint="eastAsia" w:ascii="宋体" w:hAnsi="宋体" w:cs="宋体"/>
          <w:spacing w:val="7"/>
          <w:sz w:val="24"/>
        </w:rPr>
        <w:t>中标供应商均具有法律效力。中标通知书发出后，</w:t>
      </w:r>
      <w:r>
        <w:rPr>
          <w:rFonts w:hint="eastAsia" w:ascii="宋体" w:hAnsi="宋体" w:cs="宋体"/>
          <w:sz w:val="24"/>
        </w:rPr>
        <w:t>采购人改变中标结果的，或者中标供应商放弃中标项目的</w:t>
      </w:r>
      <w:r>
        <w:rPr>
          <w:rFonts w:hint="eastAsia" w:ascii="宋体" w:hAnsi="宋体" w:cs="宋体"/>
          <w:spacing w:val="7"/>
          <w:sz w:val="24"/>
        </w:rPr>
        <w:t>，应当依法承担法律责任</w:t>
      </w:r>
      <w:bookmarkStart w:id="143" w:name="_Toc35244874"/>
      <w:bookmarkStart w:id="144" w:name="_Toc54119652"/>
      <w:bookmarkStart w:id="145" w:name="_Toc256000008"/>
      <w:r>
        <w:rPr>
          <w:rFonts w:hint="eastAsia" w:ascii="宋体" w:hAnsi="宋体" w:cs="宋体"/>
          <w:spacing w:val="7"/>
          <w:sz w:val="24"/>
        </w:rPr>
        <w:t>。</w:t>
      </w:r>
    </w:p>
    <w:p w14:paraId="56549D8C">
      <w:pPr>
        <w:numPr>
          <w:ilvl w:val="1"/>
          <w:numId w:val="6"/>
        </w:numPr>
        <w:spacing w:line="400" w:lineRule="exact"/>
        <w:ind w:firstLine="0"/>
        <w:jc w:val="left"/>
        <w:outlineLvl w:val="1"/>
        <w:rPr>
          <w:rStyle w:val="230"/>
          <w:rFonts w:ascii="宋体" w:hAnsi="宋体" w:cs="宋体"/>
          <w:bCs w:val="0"/>
          <w:sz w:val="24"/>
          <w:szCs w:val="24"/>
        </w:rPr>
      </w:pPr>
      <w:bookmarkStart w:id="146" w:name="_Toc26742"/>
      <w:bookmarkStart w:id="147" w:name="_Toc30218"/>
      <w:bookmarkStart w:id="148" w:name="_Toc3470"/>
      <w:r>
        <w:rPr>
          <w:rStyle w:val="230"/>
          <w:rFonts w:hint="eastAsia" w:ascii="宋体" w:hAnsi="宋体" w:cs="宋体"/>
          <w:bCs w:val="0"/>
          <w:sz w:val="24"/>
          <w:szCs w:val="24"/>
        </w:rPr>
        <w:t>授予合同</w:t>
      </w:r>
      <w:bookmarkEnd w:id="143"/>
      <w:bookmarkEnd w:id="144"/>
      <w:bookmarkEnd w:id="145"/>
      <w:bookmarkEnd w:id="146"/>
      <w:bookmarkEnd w:id="147"/>
      <w:bookmarkEnd w:id="148"/>
    </w:p>
    <w:p w14:paraId="6E68784F">
      <w:pPr>
        <w:numPr>
          <w:ilvl w:val="0"/>
          <w:numId w:val="7"/>
        </w:numPr>
        <w:spacing w:line="400" w:lineRule="exact"/>
        <w:ind w:firstLine="241"/>
        <w:jc w:val="left"/>
        <w:outlineLvl w:val="2"/>
        <w:rPr>
          <w:rFonts w:ascii="宋体" w:hAnsi="宋体" w:cs="宋体"/>
          <w:b/>
          <w:bCs/>
          <w:sz w:val="24"/>
        </w:rPr>
      </w:pPr>
      <w:bookmarkStart w:id="149" w:name="_Toc18927"/>
      <w:r>
        <w:rPr>
          <w:rFonts w:hint="eastAsia" w:ascii="宋体" w:hAnsi="宋体" w:cs="宋体"/>
          <w:b/>
          <w:bCs/>
          <w:sz w:val="24"/>
        </w:rPr>
        <w:t>签订合同</w:t>
      </w:r>
      <w:bookmarkEnd w:id="149"/>
    </w:p>
    <w:p w14:paraId="75939EA1">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中标人应按中标通知书规定的时间,按照招标文件及投标文件确定的事项与采购人签订政府采购合同，且原则上不得迟于中标通知书发出之日起三十日，否则给采购人造成损失的，中标人应承担赔偿责任。</w:t>
      </w:r>
    </w:p>
    <w:p w14:paraId="2108BFA4">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招标文件、中标人的投标文件及招标过程中有关澄清、承诺文件均应作为合同附件。</w:t>
      </w:r>
    </w:p>
    <w:p w14:paraId="2E3E3B60">
      <w:pPr>
        <w:numPr>
          <w:ilvl w:val="1"/>
          <w:numId w:val="7"/>
        </w:numPr>
        <w:spacing w:line="400" w:lineRule="exact"/>
        <w:ind w:firstLine="508"/>
        <w:jc w:val="left"/>
        <w:rPr>
          <w:rFonts w:ascii="宋体" w:hAnsi="宋体" w:cs="宋体"/>
          <w:sz w:val="24"/>
        </w:rPr>
      </w:pPr>
      <w:r>
        <w:rPr>
          <w:rFonts w:hint="eastAsia" w:ascii="宋体" w:hAnsi="宋体" w:cs="宋体"/>
          <w:spacing w:val="7"/>
          <w:sz w:val="24"/>
        </w:rPr>
        <w:t>签订合同后，中标人不得将货物及其他相关服务进行转包和分包。</w:t>
      </w:r>
    </w:p>
    <w:p w14:paraId="1A6777C1">
      <w:pPr>
        <w:numPr>
          <w:ilvl w:val="0"/>
          <w:numId w:val="7"/>
        </w:numPr>
        <w:spacing w:line="400" w:lineRule="exact"/>
        <w:ind w:firstLine="241"/>
        <w:jc w:val="left"/>
        <w:outlineLvl w:val="2"/>
        <w:rPr>
          <w:rFonts w:ascii="宋体" w:hAnsi="宋体" w:cs="宋体"/>
          <w:b/>
          <w:bCs/>
          <w:sz w:val="24"/>
        </w:rPr>
      </w:pPr>
      <w:bookmarkStart w:id="150" w:name="_Toc17363"/>
      <w:r>
        <w:rPr>
          <w:rFonts w:hint="eastAsia" w:ascii="宋体" w:hAnsi="宋体" w:cs="宋体"/>
          <w:b/>
          <w:bCs/>
          <w:sz w:val="24"/>
        </w:rPr>
        <w:t>货物和服务的追加、减少和添购。</w:t>
      </w:r>
      <w:bookmarkEnd w:id="150"/>
      <w:r>
        <w:rPr>
          <w:rFonts w:hint="eastAsia" w:ascii="宋体" w:hAnsi="宋体" w:cs="宋体"/>
          <w:b/>
          <w:bCs/>
          <w:sz w:val="24"/>
        </w:rPr>
        <w:t xml:space="preserve"> </w:t>
      </w:r>
    </w:p>
    <w:p w14:paraId="23145B93">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政府采购合同履行中，采购人需追加与合同标的相同的货物和服务的，在不改变合同其他条款的前提下，可以与中标人协商签订补充合同，但所有补充合同的采购金额不超过原合同金额10%。</w:t>
      </w:r>
    </w:p>
    <w:p w14:paraId="7B7DB7FA">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采购结束后，采购人若由于各种客观原因，必须对采购项目所牵涉的货物和服务进行适当的减少时，在双方协商一致的前提下，可以按照招标采购时的价格水平做相应的调减，并据此签订补充合同。</w:t>
      </w:r>
    </w:p>
    <w:p w14:paraId="7396C752">
      <w:pPr>
        <w:numPr>
          <w:ilvl w:val="0"/>
          <w:numId w:val="7"/>
        </w:numPr>
        <w:spacing w:line="400" w:lineRule="exact"/>
        <w:ind w:firstLine="241"/>
        <w:jc w:val="left"/>
        <w:outlineLvl w:val="2"/>
        <w:rPr>
          <w:rFonts w:ascii="宋体" w:hAnsi="宋体" w:cs="宋体"/>
          <w:b/>
          <w:bCs/>
          <w:sz w:val="24"/>
        </w:rPr>
      </w:pPr>
      <w:bookmarkStart w:id="151" w:name="_Toc18878"/>
      <w:r>
        <w:rPr>
          <w:rFonts w:hint="eastAsia" w:ascii="宋体" w:hAnsi="宋体" w:cs="宋体"/>
          <w:b/>
          <w:bCs/>
          <w:sz w:val="24"/>
        </w:rPr>
        <w:t>履约保证金</w:t>
      </w:r>
      <w:bookmarkEnd w:id="151"/>
    </w:p>
    <w:p w14:paraId="0652A7D1">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合同签订前，中标人向采购单位交付的履约保证金为合同总价款的2％。</w:t>
      </w:r>
    </w:p>
    <w:p w14:paraId="476084A9">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履约保证金必须是人民币。履约保证金应当以支票、汇票、本票或者金融机构、担保机构出具的保函等非现金形式提交。</w:t>
      </w:r>
    </w:p>
    <w:p w14:paraId="3408295E">
      <w:pPr>
        <w:numPr>
          <w:ilvl w:val="1"/>
          <w:numId w:val="7"/>
        </w:numPr>
        <w:spacing w:line="400" w:lineRule="exact"/>
        <w:ind w:firstLine="508"/>
        <w:jc w:val="left"/>
        <w:rPr>
          <w:rFonts w:ascii="宋体" w:hAnsi="宋体" w:cs="宋体"/>
          <w:spacing w:val="7"/>
          <w:sz w:val="24"/>
        </w:rPr>
      </w:pPr>
      <w:r>
        <w:rPr>
          <w:rFonts w:hint="eastAsia" w:ascii="宋体" w:hAnsi="宋体" w:cs="宋体"/>
          <w:spacing w:val="7"/>
          <w:sz w:val="24"/>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2D5AF268">
      <w:pPr>
        <w:numPr>
          <w:ilvl w:val="0"/>
          <w:numId w:val="7"/>
        </w:numPr>
        <w:spacing w:line="400" w:lineRule="exact"/>
        <w:ind w:firstLine="255"/>
        <w:jc w:val="left"/>
        <w:outlineLvl w:val="2"/>
        <w:rPr>
          <w:rFonts w:ascii="宋体" w:hAnsi="宋体" w:cs="宋体"/>
          <w:b/>
          <w:bCs/>
          <w:spacing w:val="7"/>
          <w:sz w:val="24"/>
        </w:rPr>
      </w:pPr>
      <w:bookmarkStart w:id="152" w:name="_Toc6954"/>
      <w:r>
        <w:rPr>
          <w:rFonts w:hint="eastAsia" w:ascii="宋体" w:hAnsi="宋体" w:cs="宋体"/>
          <w:b/>
          <w:bCs/>
          <w:spacing w:val="7"/>
          <w:sz w:val="24"/>
        </w:rPr>
        <w:t>监督和公证</w:t>
      </w:r>
      <w:bookmarkEnd w:id="152"/>
    </w:p>
    <w:p w14:paraId="718BB849">
      <w:pPr>
        <w:numPr>
          <w:ilvl w:val="1"/>
          <w:numId w:val="7"/>
        </w:numPr>
        <w:spacing w:line="400" w:lineRule="exact"/>
        <w:ind w:firstLine="254"/>
        <w:jc w:val="left"/>
        <w:rPr>
          <w:rFonts w:ascii="宋体" w:hAnsi="宋体" w:cs="宋体"/>
          <w:spacing w:val="7"/>
          <w:sz w:val="24"/>
        </w:rPr>
      </w:pPr>
      <w:r>
        <w:rPr>
          <w:rFonts w:hint="eastAsia" w:ascii="宋体" w:hAnsi="宋体" w:cs="宋体"/>
          <w:spacing w:val="7"/>
          <w:sz w:val="24"/>
        </w:rPr>
        <w:t>政府有关监督部门将对投标全过程进行监督。</w:t>
      </w:r>
      <w:bookmarkEnd w:id="16"/>
      <w:bookmarkEnd w:id="17"/>
      <w:bookmarkEnd w:id="18"/>
      <w:bookmarkEnd w:id="19"/>
      <w:bookmarkEnd w:id="20"/>
      <w:bookmarkEnd w:id="21"/>
    </w:p>
    <w:p w14:paraId="19AE33CC">
      <w:pPr>
        <w:pageBreakBefore/>
        <w:numPr>
          <w:ilvl w:val="0"/>
          <w:numId w:val="2"/>
        </w:numPr>
        <w:spacing w:after="20" w:line="480" w:lineRule="exact"/>
        <w:jc w:val="center"/>
        <w:outlineLvl w:val="0"/>
        <w:rPr>
          <w:rFonts w:ascii="宋体" w:hAnsi="宋体" w:cs="宋体"/>
          <w:b/>
          <w:bCs/>
          <w:sz w:val="32"/>
          <w:szCs w:val="32"/>
        </w:rPr>
      </w:pPr>
      <w:bookmarkStart w:id="153" w:name="_Toc10256"/>
      <w:bookmarkStart w:id="154" w:name="_Toc3639"/>
      <w:bookmarkStart w:id="155" w:name="_Toc9399"/>
      <w:bookmarkStart w:id="156" w:name="_Toc26922"/>
      <w:bookmarkStart w:id="157" w:name="_Toc913"/>
      <w:bookmarkStart w:id="158" w:name="_Toc28500"/>
      <w:bookmarkStart w:id="159" w:name="_Toc9061"/>
      <w:bookmarkStart w:id="160" w:name="_Hlt16619350"/>
      <w:bookmarkStart w:id="161" w:name="_Toc20823346"/>
      <w:bookmarkStart w:id="162" w:name="_Toc120614244"/>
      <w:bookmarkStart w:id="163" w:name="_Hlk65328514"/>
      <w:bookmarkStart w:id="164" w:name="_Toc16938590"/>
      <w:bookmarkStart w:id="165" w:name="_Toc462564139"/>
      <w:bookmarkStart w:id="166" w:name="_Toc479757211"/>
      <w:r>
        <w:rPr>
          <w:rFonts w:hint="eastAsia" w:ascii="宋体" w:hAnsi="宋体" w:cs="宋体"/>
          <w:b/>
          <w:bCs/>
          <w:sz w:val="32"/>
          <w:szCs w:val="32"/>
        </w:rPr>
        <w:t>合同条款及格式</w:t>
      </w:r>
      <w:bookmarkEnd w:id="153"/>
      <w:bookmarkEnd w:id="154"/>
      <w:bookmarkEnd w:id="155"/>
      <w:bookmarkEnd w:id="156"/>
      <w:bookmarkEnd w:id="157"/>
      <w:bookmarkEnd w:id="158"/>
      <w:bookmarkEnd w:id="159"/>
    </w:p>
    <w:p w14:paraId="7071E805">
      <w:pPr>
        <w:pStyle w:val="240"/>
        <w:ind w:firstLine="480"/>
        <w:rPr>
          <w:rStyle w:val="203"/>
          <w:rFonts w:ascii="宋体" w:hAnsi="宋体" w:eastAsia="宋体" w:cs="宋体"/>
          <w:bCs/>
          <w:color w:val="000000"/>
        </w:rPr>
      </w:pPr>
      <w:r>
        <w:rPr>
          <w:rStyle w:val="203"/>
          <w:rFonts w:hint="eastAsia" w:ascii="宋体" w:hAnsi="宋体" w:eastAsia="宋体" w:cs="宋体"/>
          <w:bCs/>
          <w:color w:val="000000"/>
        </w:rPr>
        <w:t>以下为中标(成交)后签定本项目合同的通用条款，中标(成交)供应商不得提出实质性的修改。</w:t>
      </w:r>
    </w:p>
    <w:p w14:paraId="1A77CAB9">
      <w:pPr>
        <w:pStyle w:val="2"/>
        <w:jc w:val="center"/>
        <w:rPr>
          <w:rFonts w:cs="Courier New"/>
          <w:b/>
          <w:bCs/>
          <w:sz w:val="32"/>
          <w:szCs w:val="32"/>
        </w:rPr>
      </w:pPr>
      <w:r>
        <w:rPr>
          <w:rFonts w:hint="eastAsia" w:cs="Courier New"/>
          <w:b/>
          <w:bCs/>
          <w:sz w:val="32"/>
          <w:szCs w:val="32"/>
        </w:rPr>
        <w:t>张家港市政府采购合同</w:t>
      </w:r>
    </w:p>
    <w:p w14:paraId="4664BCC1">
      <w:pPr>
        <w:pStyle w:val="2"/>
        <w:wordWrap w:val="0"/>
        <w:topLinePunct/>
        <w:spacing w:line="400" w:lineRule="exact"/>
        <w:rPr>
          <w:rFonts w:cs="宋体"/>
          <w:u w:val="single"/>
        </w:rPr>
      </w:pPr>
      <w:r>
        <w:rPr>
          <w:rFonts w:hint="eastAsia" w:cs="宋体"/>
        </w:rPr>
        <w:t>项目名称：</w:t>
      </w:r>
      <w:r>
        <w:rPr>
          <w:rFonts w:hint="eastAsia" w:cs="宋体"/>
          <w:u w:val="single"/>
        </w:rPr>
        <w:t xml:space="preserve">                  </w:t>
      </w:r>
    </w:p>
    <w:p w14:paraId="1C9C3F1C">
      <w:pPr>
        <w:pStyle w:val="2"/>
        <w:wordWrap w:val="0"/>
        <w:topLinePunct/>
        <w:spacing w:line="400" w:lineRule="exact"/>
        <w:rPr>
          <w:rFonts w:cs="宋体"/>
        </w:rPr>
      </w:pPr>
      <w:r>
        <w:rPr>
          <w:rFonts w:hint="eastAsia" w:cs="宋体"/>
        </w:rPr>
        <w:t>项目编号：</w:t>
      </w:r>
      <w:r>
        <w:rPr>
          <w:rFonts w:hint="eastAsia" w:cs="宋体"/>
          <w:u w:val="single"/>
        </w:rPr>
        <w:t xml:space="preserve">                  </w:t>
      </w:r>
      <w:r>
        <w:rPr>
          <w:rFonts w:hint="eastAsia" w:cs="宋体"/>
        </w:rPr>
        <w:t xml:space="preserve">               </w:t>
      </w:r>
    </w:p>
    <w:p w14:paraId="35CFEB88">
      <w:pPr>
        <w:pStyle w:val="2"/>
        <w:wordWrap w:val="0"/>
        <w:topLinePunct/>
        <w:spacing w:line="400" w:lineRule="exact"/>
        <w:rPr>
          <w:rFonts w:cs="宋体"/>
          <w:u w:val="single"/>
        </w:rPr>
      </w:pPr>
      <w:r>
        <w:rPr>
          <w:rFonts w:hint="eastAsia" w:cs="宋体"/>
        </w:rPr>
        <w:t>甲方：（买方）</w:t>
      </w:r>
      <w:r>
        <w:rPr>
          <w:rFonts w:hint="eastAsia" w:cs="宋体"/>
          <w:u w:val="single"/>
        </w:rPr>
        <w:t xml:space="preserve">                 </w:t>
      </w:r>
    </w:p>
    <w:p w14:paraId="7B296ED1">
      <w:pPr>
        <w:pStyle w:val="2"/>
        <w:wordWrap w:val="0"/>
        <w:topLinePunct/>
        <w:spacing w:line="400" w:lineRule="exact"/>
        <w:rPr>
          <w:rFonts w:cs="宋体"/>
        </w:rPr>
      </w:pPr>
      <w:r>
        <w:rPr>
          <w:rFonts w:hint="eastAsia" w:cs="宋体"/>
        </w:rPr>
        <w:t>乙方：（卖方）</w:t>
      </w:r>
      <w:r>
        <w:rPr>
          <w:rFonts w:hint="eastAsia" w:cs="宋体"/>
          <w:u w:val="single"/>
        </w:rPr>
        <w:t xml:space="preserve">                 </w:t>
      </w:r>
      <w:r>
        <w:rPr>
          <w:rFonts w:hint="eastAsia" w:cs="宋体"/>
        </w:rPr>
        <w:t xml:space="preserve">                 </w:t>
      </w:r>
    </w:p>
    <w:p w14:paraId="7265A69A">
      <w:pPr>
        <w:pStyle w:val="2"/>
        <w:wordWrap w:val="0"/>
        <w:topLinePunct/>
        <w:spacing w:line="400" w:lineRule="exact"/>
        <w:rPr>
          <w:rFonts w:cs="宋体"/>
        </w:rPr>
      </w:pPr>
      <w:r>
        <w:rPr>
          <w:rFonts w:hint="eastAsia" w:cs="宋体"/>
        </w:rPr>
        <w:t>甲、乙双方根据张家港市旭达咨询有限公司</w:t>
      </w:r>
      <w:r>
        <w:rPr>
          <w:rFonts w:hint="eastAsia" w:cs="宋体"/>
          <w:u w:val="single"/>
        </w:rPr>
        <w:t xml:space="preserve">    </w:t>
      </w:r>
      <w:r>
        <w:rPr>
          <w:rFonts w:hint="eastAsia" w:cs="宋体"/>
        </w:rPr>
        <w:t>项目公开招标的结果，签署本合同。</w:t>
      </w:r>
    </w:p>
    <w:p w14:paraId="6DBAEF4C">
      <w:pPr>
        <w:pStyle w:val="2"/>
        <w:wordWrap w:val="0"/>
        <w:topLinePunct/>
        <w:spacing w:line="400" w:lineRule="exact"/>
        <w:rPr>
          <w:rFonts w:cs="宋体"/>
        </w:rPr>
      </w:pPr>
      <w:r>
        <w:rPr>
          <w:rFonts w:hint="eastAsia" w:cs="宋体"/>
        </w:rPr>
        <w:t>一、货物内容</w:t>
      </w:r>
    </w:p>
    <w:tbl>
      <w:tblPr>
        <w:tblStyle w:val="37"/>
        <w:tblW w:w="81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216"/>
        <w:gridCol w:w="2883"/>
        <w:gridCol w:w="2001"/>
      </w:tblGrid>
      <w:tr w14:paraId="56D0EF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786" w:hRule="atLeast"/>
          <w:jc w:val="center"/>
        </w:trPr>
        <w:tc>
          <w:tcPr>
            <w:tcW w:w="3216" w:type="dxa"/>
            <w:tcBorders>
              <w:tl2br w:val="nil"/>
              <w:tr2bl w:val="nil"/>
            </w:tcBorders>
            <w:vAlign w:val="center"/>
          </w:tcPr>
          <w:p w14:paraId="2421F661">
            <w:pPr>
              <w:pStyle w:val="249"/>
              <w:widowControl w:val="0"/>
              <w:jc w:val="center"/>
              <w:rPr>
                <w:rFonts w:ascii="宋体" w:hAnsi="宋体" w:eastAsia="宋体"/>
                <w:kern w:val="2"/>
              </w:rPr>
            </w:pPr>
            <w:r>
              <w:rPr>
                <w:rFonts w:hint="eastAsia" w:ascii="宋体" w:hAnsi="宋体" w:eastAsia="宋体"/>
                <w:color w:val="000000"/>
                <w:kern w:val="2"/>
              </w:rPr>
              <w:t>投标货物名称</w:t>
            </w:r>
          </w:p>
        </w:tc>
        <w:tc>
          <w:tcPr>
            <w:tcW w:w="2883" w:type="dxa"/>
            <w:tcBorders>
              <w:tl2br w:val="nil"/>
              <w:tr2bl w:val="nil"/>
            </w:tcBorders>
            <w:vAlign w:val="center"/>
          </w:tcPr>
          <w:p w14:paraId="01E15D4A">
            <w:pPr>
              <w:pStyle w:val="249"/>
              <w:widowControl w:val="0"/>
              <w:jc w:val="center"/>
              <w:rPr>
                <w:rFonts w:ascii="宋体" w:hAnsi="宋体" w:eastAsia="宋体"/>
                <w:kern w:val="2"/>
              </w:rPr>
            </w:pPr>
            <w:r>
              <w:rPr>
                <w:rFonts w:hint="eastAsia" w:ascii="宋体" w:hAnsi="宋体" w:eastAsia="宋体"/>
                <w:color w:val="000000"/>
                <w:kern w:val="2"/>
              </w:rPr>
              <w:t>总价（元）</w:t>
            </w:r>
          </w:p>
        </w:tc>
        <w:tc>
          <w:tcPr>
            <w:tcW w:w="2001" w:type="dxa"/>
            <w:tcBorders>
              <w:tl2br w:val="nil"/>
              <w:tr2bl w:val="nil"/>
            </w:tcBorders>
            <w:vAlign w:val="center"/>
          </w:tcPr>
          <w:p w14:paraId="76386505">
            <w:pPr>
              <w:pStyle w:val="249"/>
              <w:widowControl w:val="0"/>
              <w:jc w:val="center"/>
              <w:rPr>
                <w:rFonts w:ascii="宋体" w:hAnsi="宋体" w:eastAsia="宋体"/>
                <w:kern w:val="2"/>
              </w:rPr>
            </w:pPr>
            <w:r>
              <w:rPr>
                <w:rFonts w:hint="eastAsia" w:ascii="宋体" w:hAnsi="宋体" w:eastAsia="宋体"/>
                <w:color w:val="000000"/>
                <w:kern w:val="2"/>
              </w:rPr>
              <w:t>备注</w:t>
            </w:r>
          </w:p>
        </w:tc>
      </w:tr>
      <w:tr w14:paraId="281B12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79" w:hRule="atLeast"/>
          <w:jc w:val="center"/>
        </w:trPr>
        <w:tc>
          <w:tcPr>
            <w:tcW w:w="3216" w:type="dxa"/>
            <w:tcBorders>
              <w:tl2br w:val="nil"/>
              <w:tr2bl w:val="nil"/>
            </w:tcBorders>
            <w:vAlign w:val="center"/>
          </w:tcPr>
          <w:p w14:paraId="13978C39">
            <w:pPr>
              <w:pStyle w:val="249"/>
              <w:widowControl w:val="0"/>
              <w:jc w:val="center"/>
              <w:rPr>
                <w:rFonts w:ascii="宋体" w:hAnsi="宋体" w:eastAsia="宋体"/>
                <w:kern w:val="2"/>
              </w:rPr>
            </w:pPr>
            <w:r>
              <w:rPr>
                <w:rFonts w:hint="eastAsia" w:ascii="宋体" w:hAnsi="宋体" w:eastAsia="宋体"/>
                <w:color w:val="000000"/>
                <w:kern w:val="2"/>
              </w:rPr>
              <w:t xml:space="preserve">            </w:t>
            </w:r>
            <w:r>
              <w:rPr>
                <w:rFonts w:ascii="宋体" w:hAnsi="宋体" w:eastAsia="宋体"/>
                <w:color w:val="000000"/>
                <w:kern w:val="2"/>
              </w:rPr>
              <w:t xml:space="preserve">           </w:t>
            </w:r>
          </w:p>
        </w:tc>
        <w:tc>
          <w:tcPr>
            <w:tcW w:w="2883" w:type="dxa"/>
            <w:tcBorders>
              <w:tl2br w:val="nil"/>
              <w:tr2bl w:val="nil"/>
            </w:tcBorders>
            <w:vAlign w:val="center"/>
          </w:tcPr>
          <w:p w14:paraId="2DF58AB6">
            <w:pPr>
              <w:pStyle w:val="249"/>
              <w:widowControl w:val="0"/>
              <w:jc w:val="center"/>
              <w:rPr>
                <w:rFonts w:ascii="宋体" w:hAnsi="宋体" w:eastAsia="宋体"/>
                <w:kern w:val="2"/>
              </w:rPr>
            </w:pPr>
            <w:r>
              <w:rPr>
                <w:rFonts w:hint="eastAsia" w:ascii="宋体" w:hAnsi="宋体" w:eastAsia="宋体"/>
                <w:color w:val="000000"/>
                <w:kern w:val="2"/>
              </w:rPr>
              <w:t xml:space="preserve">        </w:t>
            </w:r>
            <w:r>
              <w:rPr>
                <w:rFonts w:ascii="宋体" w:hAnsi="宋体" w:eastAsia="宋体"/>
                <w:color w:val="000000"/>
                <w:kern w:val="2"/>
              </w:rPr>
              <w:t xml:space="preserve">             </w:t>
            </w:r>
          </w:p>
        </w:tc>
        <w:tc>
          <w:tcPr>
            <w:tcW w:w="2001" w:type="dxa"/>
            <w:tcBorders>
              <w:tl2br w:val="nil"/>
              <w:tr2bl w:val="nil"/>
            </w:tcBorders>
            <w:vAlign w:val="center"/>
          </w:tcPr>
          <w:p w14:paraId="2D16B1B8">
            <w:pPr>
              <w:pStyle w:val="249"/>
              <w:widowControl w:val="0"/>
              <w:jc w:val="center"/>
              <w:rPr>
                <w:rFonts w:ascii="宋体" w:hAnsi="宋体" w:eastAsia="宋体"/>
                <w:kern w:val="2"/>
              </w:rPr>
            </w:pPr>
          </w:p>
        </w:tc>
      </w:tr>
    </w:tbl>
    <w:p w14:paraId="2A951C89">
      <w:pPr>
        <w:pStyle w:val="2"/>
        <w:wordWrap w:val="0"/>
        <w:topLinePunct/>
        <w:spacing w:line="400" w:lineRule="exact"/>
        <w:rPr>
          <w:rFonts w:cs="宋体"/>
        </w:rPr>
      </w:pPr>
      <w:r>
        <w:rPr>
          <w:rFonts w:hint="eastAsia" w:cs="宋体"/>
        </w:rPr>
        <w:t>二、合同金额</w:t>
      </w:r>
    </w:p>
    <w:p w14:paraId="15912722">
      <w:pPr>
        <w:pStyle w:val="2"/>
        <w:wordWrap w:val="0"/>
        <w:topLinePunct/>
        <w:spacing w:line="400" w:lineRule="exact"/>
        <w:rPr>
          <w:rFonts w:cs="宋体"/>
        </w:rPr>
      </w:pPr>
      <w:r>
        <w:rPr>
          <w:rFonts w:hint="eastAsia" w:cs="宋体"/>
        </w:rPr>
        <w:t>2.1 本合同金额为（大写）：</w:t>
      </w:r>
      <w:r>
        <w:rPr>
          <w:rFonts w:hint="eastAsia" w:cs="宋体"/>
          <w:u w:val="single"/>
        </w:rPr>
        <w:t xml:space="preserve">                     </w:t>
      </w:r>
      <w:r>
        <w:rPr>
          <w:rFonts w:hint="eastAsia" w:cs="宋体"/>
        </w:rPr>
        <w:t>（</w:t>
      </w:r>
      <w:r>
        <w:rPr>
          <w:rFonts w:hint="eastAsia" w:cs="宋体"/>
          <w:u w:val="single"/>
        </w:rPr>
        <w:t xml:space="preserve">            </w:t>
      </w:r>
      <w:r>
        <w:rPr>
          <w:rFonts w:hint="eastAsia" w:cs="宋体"/>
        </w:rPr>
        <w:t>元）人民币。</w:t>
      </w:r>
    </w:p>
    <w:p w14:paraId="3B8B5861">
      <w:pPr>
        <w:ind w:firstLine="480" w:firstLineChars="200"/>
        <w:rPr>
          <w:rFonts w:ascii="宋体" w:hAnsi="宋体" w:cs="宋体"/>
          <w:kern w:val="2"/>
          <w:sz w:val="24"/>
        </w:rPr>
      </w:pPr>
      <w:r>
        <w:rPr>
          <w:rFonts w:hint="eastAsia" w:ascii="宋体" w:hAnsi="宋体" w:cs="宋体"/>
          <w:kern w:val="2"/>
          <w:sz w:val="24"/>
        </w:rPr>
        <w:t>总价为综合报价，包括但不限于含设备、软件以及相应的附件、备件、配件、3年网络传输费用、包装、税费、运杂（到位）、保险、验收、管理、售后服务、维护、人员培训等所产生的费用，对报价构成及相关内容需作说明的可另附页。</w:t>
      </w:r>
    </w:p>
    <w:p w14:paraId="5DA164FC">
      <w:pPr>
        <w:pStyle w:val="2"/>
        <w:wordWrap w:val="0"/>
        <w:topLinePunct/>
        <w:spacing w:line="400" w:lineRule="exact"/>
        <w:rPr>
          <w:rFonts w:cs="宋体"/>
        </w:rPr>
      </w:pPr>
      <w:r>
        <w:rPr>
          <w:rFonts w:hint="eastAsia" w:cs="宋体"/>
        </w:rPr>
        <w:t>三、技术资料</w:t>
      </w:r>
    </w:p>
    <w:p w14:paraId="7E11249A">
      <w:pPr>
        <w:pStyle w:val="2"/>
        <w:wordWrap w:val="0"/>
        <w:topLinePunct/>
        <w:spacing w:line="400" w:lineRule="exact"/>
        <w:rPr>
          <w:rFonts w:cs="宋体"/>
        </w:rPr>
      </w:pPr>
      <w:r>
        <w:rPr>
          <w:rFonts w:hint="eastAsia" w:cs="宋体"/>
        </w:rPr>
        <w:t>3.1乙方应按招标文件规定的时间向甲方提供使用货物的有关技术资料。</w:t>
      </w:r>
    </w:p>
    <w:p w14:paraId="4B6C1D15">
      <w:pPr>
        <w:pStyle w:val="2"/>
        <w:wordWrap w:val="0"/>
        <w:topLinePunct/>
        <w:spacing w:line="400" w:lineRule="exact"/>
        <w:rPr>
          <w:rFonts w:cs="宋体"/>
        </w:rPr>
      </w:pPr>
      <w:r>
        <w:rPr>
          <w:rFonts w:hint="eastAsia" w:cs="宋体"/>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FAD0AB6">
      <w:pPr>
        <w:pStyle w:val="2"/>
        <w:wordWrap w:val="0"/>
        <w:topLinePunct/>
        <w:spacing w:line="400" w:lineRule="exact"/>
        <w:rPr>
          <w:rFonts w:cs="宋体"/>
        </w:rPr>
      </w:pPr>
      <w:r>
        <w:rPr>
          <w:rFonts w:hint="eastAsia" w:cs="宋体"/>
        </w:rPr>
        <w:t>四、知识产权</w:t>
      </w:r>
    </w:p>
    <w:p w14:paraId="259B5A6A">
      <w:pPr>
        <w:pStyle w:val="2"/>
        <w:wordWrap w:val="0"/>
        <w:topLinePunct/>
        <w:spacing w:line="400" w:lineRule="exact"/>
        <w:rPr>
          <w:rFonts w:cs="宋体"/>
        </w:rPr>
      </w:pPr>
      <w:r>
        <w:rPr>
          <w:rFonts w:hint="eastAsia" w:cs="宋体"/>
        </w:rPr>
        <w:t>4.1乙方保证所提供货物等涉及到的知识产权和所提供的软件、技术资料是合法取得，并享有完整的知识产权，不会因为甲方的使用而被责令停止使用、追偿或要求赔偿损失，如出现此情况，一切经济和法律责任均由乙方承担。</w:t>
      </w:r>
    </w:p>
    <w:p w14:paraId="5887934A">
      <w:pPr>
        <w:pStyle w:val="2"/>
        <w:wordWrap w:val="0"/>
        <w:topLinePunct/>
        <w:spacing w:line="400" w:lineRule="exact"/>
        <w:rPr>
          <w:rFonts w:cs="宋体"/>
        </w:rPr>
      </w:pPr>
      <w:r>
        <w:rPr>
          <w:rFonts w:hint="eastAsia" w:cs="宋体"/>
        </w:rPr>
        <w:t>五、产权担保</w:t>
      </w:r>
    </w:p>
    <w:p w14:paraId="74BE3C7C">
      <w:pPr>
        <w:pStyle w:val="2"/>
        <w:wordWrap w:val="0"/>
        <w:topLinePunct/>
        <w:spacing w:line="400" w:lineRule="exact"/>
        <w:rPr>
          <w:rFonts w:cs="宋体"/>
        </w:rPr>
      </w:pPr>
      <w:r>
        <w:rPr>
          <w:rFonts w:hint="eastAsia" w:cs="宋体"/>
        </w:rPr>
        <w:t>5.1 乙方保证所交付的货物的所有权完全属于乙方且无任何抵押、查封等产权瑕疵。</w:t>
      </w:r>
    </w:p>
    <w:p w14:paraId="74575BE8">
      <w:pPr>
        <w:pStyle w:val="2"/>
        <w:wordWrap w:val="0"/>
        <w:topLinePunct/>
        <w:spacing w:line="400" w:lineRule="exact"/>
        <w:rPr>
          <w:rFonts w:cs="宋体"/>
        </w:rPr>
      </w:pPr>
      <w:r>
        <w:rPr>
          <w:rFonts w:hint="eastAsia" w:cs="宋体"/>
        </w:rPr>
        <w:t>六、履约保证金</w:t>
      </w:r>
    </w:p>
    <w:p w14:paraId="42C58253">
      <w:pPr>
        <w:pStyle w:val="2"/>
        <w:wordWrap w:val="0"/>
        <w:topLinePunct/>
        <w:spacing w:line="400" w:lineRule="exact"/>
        <w:rPr>
          <w:rFonts w:cs="宋体"/>
        </w:rPr>
      </w:pPr>
      <w:r>
        <w:rPr>
          <w:rFonts w:hint="eastAsia" w:cs="宋体"/>
        </w:rPr>
        <w:t>6.1合同签订前，乙方向采购单位交纳人民币</w:t>
      </w:r>
      <w:r>
        <w:rPr>
          <w:rFonts w:hint="eastAsia" w:cs="宋体"/>
          <w:u w:val="single"/>
        </w:rPr>
        <w:t xml:space="preserve">    </w:t>
      </w:r>
      <w:r>
        <w:rPr>
          <w:rFonts w:hint="eastAsia" w:cs="宋体"/>
        </w:rPr>
        <w:t>元作为本合同的履约保证金。履约保证金应当以支票、汇票、本票或者金融机构、担保机构出具的保函等非现金形式提交。</w:t>
      </w:r>
    </w:p>
    <w:p w14:paraId="6E731D3E">
      <w:pPr>
        <w:pStyle w:val="2"/>
        <w:wordWrap w:val="0"/>
        <w:topLinePunct/>
        <w:spacing w:line="400" w:lineRule="exact"/>
        <w:rPr>
          <w:rFonts w:cs="宋体"/>
        </w:rPr>
      </w:pPr>
      <w:r>
        <w:rPr>
          <w:rFonts w:hint="eastAsia" w:cs="宋体"/>
        </w:rPr>
        <w:t>6.2合同履行完毕退还履约保证金。逾期退还的，应当支付逾期利息，且逾期利息的利率不得低于合同订立时1年期贷款市场报价利率。</w:t>
      </w:r>
    </w:p>
    <w:p w14:paraId="7499B585">
      <w:pPr>
        <w:pStyle w:val="2"/>
        <w:wordWrap w:val="0"/>
        <w:topLinePunct/>
        <w:spacing w:line="400" w:lineRule="exact"/>
        <w:rPr>
          <w:rFonts w:cs="宋体"/>
        </w:rPr>
      </w:pPr>
      <w:r>
        <w:rPr>
          <w:rFonts w:hint="eastAsia" w:cs="宋体"/>
        </w:rPr>
        <w:t>6.3乙方不履行与甲方订立的合同的，履约保证金不予退还。</w:t>
      </w:r>
    </w:p>
    <w:p w14:paraId="3CDD0B1B">
      <w:pPr>
        <w:pStyle w:val="2"/>
        <w:wordWrap w:val="0"/>
        <w:topLinePunct/>
        <w:spacing w:line="400" w:lineRule="exact"/>
        <w:rPr>
          <w:rFonts w:cs="宋体"/>
        </w:rPr>
      </w:pPr>
      <w:r>
        <w:rPr>
          <w:rFonts w:hint="eastAsia" w:cs="宋体"/>
        </w:rPr>
        <w:t>七.转包或分包</w:t>
      </w:r>
    </w:p>
    <w:p w14:paraId="4758AF15">
      <w:pPr>
        <w:pStyle w:val="2"/>
        <w:wordWrap w:val="0"/>
        <w:topLinePunct/>
        <w:spacing w:line="400" w:lineRule="exact"/>
        <w:rPr>
          <w:rFonts w:cs="宋体"/>
        </w:rPr>
      </w:pPr>
      <w:r>
        <w:rPr>
          <w:rFonts w:hint="eastAsia" w:cs="宋体"/>
        </w:rPr>
        <w:t>7.1本合同范围的货物，应由乙方直接供应，不得转让他人供应；</w:t>
      </w:r>
    </w:p>
    <w:p w14:paraId="643F295F">
      <w:pPr>
        <w:pStyle w:val="2"/>
        <w:wordWrap w:val="0"/>
        <w:topLinePunct/>
        <w:spacing w:line="400" w:lineRule="exact"/>
        <w:rPr>
          <w:rFonts w:cs="宋体"/>
        </w:rPr>
      </w:pPr>
      <w:r>
        <w:rPr>
          <w:rFonts w:hint="eastAsia" w:cs="宋体"/>
        </w:rPr>
        <w:t>7.2 如有转包和分包行为，甲方有权给予终止合同。</w:t>
      </w:r>
    </w:p>
    <w:p w14:paraId="599ACBB0">
      <w:pPr>
        <w:pStyle w:val="2"/>
        <w:wordWrap w:val="0"/>
        <w:topLinePunct/>
        <w:spacing w:line="400" w:lineRule="exact"/>
        <w:rPr>
          <w:rFonts w:cs="宋体"/>
        </w:rPr>
      </w:pPr>
      <w:r>
        <w:rPr>
          <w:rFonts w:hint="eastAsia" w:cs="宋体"/>
        </w:rPr>
        <w:t>八、交货期、交货方式及交货地点</w:t>
      </w:r>
    </w:p>
    <w:p w14:paraId="1ADC43B2">
      <w:pPr>
        <w:pStyle w:val="2"/>
        <w:wordWrap w:val="0"/>
        <w:topLinePunct/>
        <w:spacing w:line="400" w:lineRule="exact"/>
        <w:rPr>
          <w:rFonts w:cs="宋体"/>
          <w:u w:val="single"/>
        </w:rPr>
      </w:pPr>
      <w:r>
        <w:rPr>
          <w:rFonts w:hint="eastAsia" w:cs="宋体"/>
        </w:rPr>
        <w:t>8.1 交货期：</w:t>
      </w:r>
      <w:r>
        <w:rPr>
          <w:rFonts w:hint="eastAsia" w:cs="宋体"/>
          <w:u w:val="single"/>
        </w:rPr>
        <w:t xml:space="preserve">                 </w:t>
      </w:r>
    </w:p>
    <w:p w14:paraId="2C5B4821">
      <w:pPr>
        <w:pStyle w:val="2"/>
        <w:wordWrap w:val="0"/>
        <w:topLinePunct/>
        <w:spacing w:line="400" w:lineRule="exact"/>
        <w:rPr>
          <w:rFonts w:cs="宋体"/>
        </w:rPr>
      </w:pPr>
      <w:r>
        <w:rPr>
          <w:rFonts w:hint="eastAsia" w:cs="宋体"/>
        </w:rPr>
        <w:t>8.2 交货方式：</w:t>
      </w:r>
      <w:r>
        <w:rPr>
          <w:rFonts w:hint="eastAsia" w:cs="宋体"/>
          <w:u w:val="single"/>
        </w:rPr>
        <w:t xml:space="preserve">               </w:t>
      </w:r>
      <w:r>
        <w:rPr>
          <w:rFonts w:hint="eastAsia" w:cs="宋体"/>
        </w:rPr>
        <w:t xml:space="preserve">               </w:t>
      </w:r>
    </w:p>
    <w:p w14:paraId="436CB89A">
      <w:pPr>
        <w:pStyle w:val="2"/>
        <w:wordWrap w:val="0"/>
        <w:topLinePunct/>
        <w:spacing w:line="400" w:lineRule="exact"/>
        <w:rPr>
          <w:rFonts w:cs="宋体"/>
          <w:u w:val="single"/>
        </w:rPr>
      </w:pPr>
      <w:r>
        <w:rPr>
          <w:rFonts w:hint="eastAsia" w:cs="宋体"/>
        </w:rPr>
        <w:t>8.3 交货地点：</w:t>
      </w:r>
      <w:r>
        <w:rPr>
          <w:rFonts w:hint="eastAsia" w:cs="宋体"/>
          <w:u w:val="single"/>
        </w:rPr>
        <w:t xml:space="preserve">                 </w:t>
      </w:r>
    </w:p>
    <w:p w14:paraId="5037C35D">
      <w:pPr>
        <w:pStyle w:val="2"/>
        <w:wordWrap w:val="0"/>
        <w:topLinePunct/>
        <w:spacing w:line="400" w:lineRule="exact"/>
        <w:rPr>
          <w:rFonts w:cs="宋体"/>
        </w:rPr>
      </w:pPr>
      <w:r>
        <w:rPr>
          <w:rFonts w:hint="eastAsia" w:cs="宋体"/>
        </w:rPr>
        <w:t>九、货款支付</w:t>
      </w:r>
    </w:p>
    <w:p w14:paraId="537F9D9C">
      <w:pPr>
        <w:pStyle w:val="2"/>
        <w:wordWrap w:val="0"/>
        <w:topLinePunct/>
        <w:spacing w:line="400" w:lineRule="exact"/>
        <w:rPr>
          <w:rFonts w:cs="宋体"/>
        </w:rPr>
      </w:pPr>
      <w:r>
        <w:rPr>
          <w:rFonts w:hint="eastAsia" w:cs="宋体"/>
        </w:rPr>
        <w:t>9.1结付程序：</w:t>
      </w:r>
      <w:r>
        <w:rPr>
          <w:rFonts w:hint="eastAsia" w:cs="宋体"/>
          <w:u w:val="single"/>
        </w:rPr>
        <w:t xml:space="preserve">                 </w:t>
      </w:r>
      <w:r>
        <w:rPr>
          <w:rFonts w:hint="eastAsia" w:cs="宋体"/>
        </w:rPr>
        <w:t xml:space="preserve"> </w:t>
      </w:r>
    </w:p>
    <w:p w14:paraId="5A86C613">
      <w:pPr>
        <w:pStyle w:val="2"/>
        <w:wordWrap w:val="0"/>
        <w:topLinePunct/>
        <w:spacing w:line="400" w:lineRule="exact"/>
        <w:rPr>
          <w:rFonts w:cs="宋体"/>
        </w:rPr>
      </w:pPr>
      <w:r>
        <w:rPr>
          <w:rFonts w:hint="eastAsia" w:cs="宋体"/>
        </w:rPr>
        <w:t>9.2结付期限：</w:t>
      </w:r>
      <w:r>
        <w:rPr>
          <w:rFonts w:hint="eastAsia" w:cs="宋体"/>
          <w:u w:val="single"/>
        </w:rPr>
        <w:t xml:space="preserve">                 </w:t>
      </w:r>
    </w:p>
    <w:p w14:paraId="3CAC32B2">
      <w:pPr>
        <w:pStyle w:val="2"/>
        <w:wordWrap w:val="0"/>
        <w:topLinePunct/>
        <w:spacing w:line="400" w:lineRule="exact"/>
        <w:rPr>
          <w:rFonts w:cs="宋体"/>
        </w:rPr>
      </w:pPr>
      <w:r>
        <w:rPr>
          <w:rFonts w:hint="eastAsia" w:cs="宋体"/>
        </w:rPr>
        <w:t>9.3乙方收款账户：</w:t>
      </w:r>
      <w:r>
        <w:rPr>
          <w:rFonts w:hint="eastAsia" w:cs="宋体"/>
          <w:u w:val="single"/>
        </w:rPr>
        <w:t xml:space="preserve">             </w:t>
      </w:r>
    </w:p>
    <w:p w14:paraId="667B704F">
      <w:pPr>
        <w:pStyle w:val="2"/>
        <w:wordWrap w:val="0"/>
        <w:topLinePunct/>
        <w:spacing w:line="400" w:lineRule="exact"/>
        <w:rPr>
          <w:rFonts w:cs="宋体"/>
        </w:rPr>
      </w:pPr>
      <w:r>
        <w:rPr>
          <w:rFonts w:hint="eastAsia" w:cs="宋体"/>
        </w:rPr>
        <w:t>9.4甲方合同款支付方式：</w:t>
      </w:r>
      <w:r>
        <w:rPr>
          <w:rFonts w:hint="eastAsia" w:cs="宋体"/>
          <w:u w:val="single"/>
        </w:rPr>
        <w:t xml:space="preserve">      </w:t>
      </w:r>
      <w:r>
        <w:rPr>
          <w:rFonts w:hint="eastAsia" w:cs="宋体"/>
        </w:rPr>
        <w:t>（若乙方为中小企业，不得强制其接受非现金支付方式）</w:t>
      </w:r>
    </w:p>
    <w:p w14:paraId="587F3C6F">
      <w:pPr>
        <w:pStyle w:val="2"/>
        <w:wordWrap w:val="0"/>
        <w:topLinePunct/>
        <w:spacing w:line="400" w:lineRule="exact"/>
        <w:rPr>
          <w:rFonts w:cs="宋体"/>
        </w:rPr>
      </w:pPr>
      <w:r>
        <w:rPr>
          <w:rFonts w:hint="eastAsia" w:cs="宋体"/>
        </w:rPr>
        <w:t>十.税</w:t>
      </w:r>
    </w:p>
    <w:p w14:paraId="36312368">
      <w:pPr>
        <w:pStyle w:val="2"/>
        <w:wordWrap w:val="0"/>
        <w:topLinePunct/>
        <w:spacing w:line="400" w:lineRule="exact"/>
        <w:rPr>
          <w:rFonts w:cs="宋体"/>
        </w:rPr>
      </w:pPr>
      <w:r>
        <w:rPr>
          <w:rFonts w:hint="eastAsia" w:cs="宋体"/>
        </w:rPr>
        <w:t>10.1本合同执行中相关的一切税费均由乙方负担。</w:t>
      </w:r>
    </w:p>
    <w:p w14:paraId="22C06F43">
      <w:pPr>
        <w:pStyle w:val="2"/>
        <w:wordWrap w:val="0"/>
        <w:topLinePunct/>
        <w:spacing w:line="400" w:lineRule="exact"/>
        <w:rPr>
          <w:rFonts w:cs="宋体"/>
        </w:rPr>
      </w:pPr>
      <w:r>
        <w:rPr>
          <w:rFonts w:hint="eastAsia" w:cs="宋体"/>
        </w:rPr>
        <w:t>十一、质量保证及售后服务</w:t>
      </w:r>
    </w:p>
    <w:p w14:paraId="6EFE657B">
      <w:pPr>
        <w:pStyle w:val="2"/>
        <w:wordWrap w:val="0"/>
        <w:topLinePunct/>
        <w:spacing w:line="400" w:lineRule="exact"/>
        <w:rPr>
          <w:rFonts w:cs="宋体"/>
        </w:rPr>
      </w:pPr>
      <w:r>
        <w:rPr>
          <w:rFonts w:hint="eastAsia" w:cs="宋体"/>
        </w:rPr>
        <w:t>11.1 乙方应按招标文件规定的货物性能、技术要求、质量标准向甲方提供未经使用的全新产品。</w:t>
      </w:r>
    </w:p>
    <w:p w14:paraId="07F01C9C">
      <w:pPr>
        <w:pStyle w:val="2"/>
        <w:wordWrap w:val="0"/>
        <w:topLinePunct/>
        <w:spacing w:line="400" w:lineRule="exact"/>
        <w:rPr>
          <w:rFonts w:cs="宋体"/>
        </w:rPr>
      </w:pPr>
      <w:r>
        <w:rPr>
          <w:rFonts w:hint="eastAsia" w:cs="宋体"/>
        </w:rPr>
        <w:t>11.2 乙方提供的货物在免费质保期内因货物本身的质量问题发生故障，乙方应负责免费更换。对达不到技术要求者，根据实际情况，经双方协商，可选择以下办法处理：</w:t>
      </w:r>
    </w:p>
    <w:p w14:paraId="545F0E0E">
      <w:pPr>
        <w:pStyle w:val="2"/>
        <w:wordWrap w:val="0"/>
        <w:topLinePunct/>
        <w:spacing w:line="400" w:lineRule="exact"/>
        <w:rPr>
          <w:rFonts w:cs="宋体"/>
        </w:rPr>
      </w:pPr>
      <w:r>
        <w:rPr>
          <w:rFonts w:hint="eastAsia" w:cs="宋体"/>
        </w:rPr>
        <w:t>(1)更换：由乙方承担所发生的全部费用。</w:t>
      </w:r>
    </w:p>
    <w:p w14:paraId="23A5C698">
      <w:pPr>
        <w:pStyle w:val="2"/>
        <w:wordWrap w:val="0"/>
        <w:topLinePunct/>
        <w:spacing w:line="400" w:lineRule="exact"/>
        <w:rPr>
          <w:rFonts w:cs="宋体"/>
        </w:rPr>
      </w:pPr>
      <w:r>
        <w:rPr>
          <w:rFonts w:hint="eastAsia" w:cs="宋体"/>
        </w:rPr>
        <w:t>(2)贬值处理：由甲乙双方合议定价。</w:t>
      </w:r>
    </w:p>
    <w:p w14:paraId="754DCFC3">
      <w:pPr>
        <w:pStyle w:val="2"/>
        <w:wordWrap w:val="0"/>
        <w:topLinePunct/>
        <w:spacing w:line="400" w:lineRule="exact"/>
        <w:rPr>
          <w:rFonts w:cs="宋体"/>
        </w:rPr>
      </w:pPr>
      <w:r>
        <w:rPr>
          <w:rFonts w:hint="eastAsia" w:cs="宋体"/>
        </w:rPr>
        <w:t>(3)退货处理：乙方应退还甲方支付的合同款，同时应承担该货物的直接费用（运输、保险、检验、货款利息及银行手续费等）。</w:t>
      </w:r>
    </w:p>
    <w:p w14:paraId="09AC4032">
      <w:pPr>
        <w:pStyle w:val="2"/>
        <w:wordWrap w:val="0"/>
        <w:topLinePunct/>
        <w:spacing w:line="400" w:lineRule="exact"/>
        <w:rPr>
          <w:rFonts w:cs="宋体"/>
        </w:rPr>
      </w:pPr>
      <w:r>
        <w:rPr>
          <w:rFonts w:hint="eastAsia" w:cs="宋体"/>
        </w:rPr>
        <w:t>11.3响应时间：</w:t>
      </w:r>
      <w:r>
        <w:rPr>
          <w:rFonts w:hint="eastAsia" w:cs="宋体"/>
          <w:u w:val="single"/>
        </w:rPr>
        <w:t xml:space="preserve">                 </w:t>
      </w:r>
      <w:r>
        <w:rPr>
          <w:rFonts w:hint="eastAsia" w:cs="宋体"/>
        </w:rPr>
        <w:t>。</w:t>
      </w:r>
    </w:p>
    <w:p w14:paraId="1AD3D966">
      <w:pPr>
        <w:pStyle w:val="2"/>
        <w:wordWrap w:val="0"/>
        <w:topLinePunct/>
        <w:spacing w:line="400" w:lineRule="exact"/>
        <w:rPr>
          <w:rFonts w:cs="宋体"/>
        </w:rPr>
      </w:pPr>
      <w:r>
        <w:rPr>
          <w:rFonts w:hint="eastAsia" w:cs="宋体"/>
        </w:rPr>
        <w:t>11.4 在免费质保期内，乙方应对货物出现的质量及安全问题负责处理解决并承担一切费用。</w:t>
      </w:r>
    </w:p>
    <w:p w14:paraId="69F5A090">
      <w:pPr>
        <w:pStyle w:val="2"/>
        <w:wordWrap w:val="0"/>
        <w:topLinePunct/>
        <w:spacing w:line="400" w:lineRule="exact"/>
        <w:rPr>
          <w:rFonts w:cs="宋体"/>
        </w:rPr>
      </w:pPr>
      <w:r>
        <w:rPr>
          <w:rFonts w:hint="eastAsia" w:cs="宋体"/>
        </w:rPr>
        <w:t>11.5上述的货物免费质保期为：</w:t>
      </w:r>
      <w:r>
        <w:rPr>
          <w:rFonts w:hint="eastAsia" w:cs="宋体"/>
          <w:u w:val="single"/>
        </w:rPr>
        <w:t xml:space="preserve">                 </w:t>
      </w:r>
      <w:r>
        <w:rPr>
          <w:rFonts w:hint="eastAsia" w:cs="宋体"/>
        </w:rPr>
        <w:t>。</w:t>
      </w:r>
    </w:p>
    <w:p w14:paraId="2D8D6589">
      <w:pPr>
        <w:pStyle w:val="2"/>
        <w:wordWrap w:val="0"/>
        <w:topLinePunct/>
        <w:spacing w:line="400" w:lineRule="exact"/>
        <w:rPr>
          <w:rFonts w:cs="宋体"/>
        </w:rPr>
      </w:pPr>
      <w:r>
        <w:rPr>
          <w:rFonts w:hint="eastAsia" w:cs="宋体"/>
        </w:rPr>
        <w:t>十二、调试和验收</w:t>
      </w:r>
    </w:p>
    <w:p w14:paraId="1C8121B4">
      <w:pPr>
        <w:pStyle w:val="2"/>
        <w:wordWrap w:val="0"/>
        <w:topLinePunct/>
        <w:spacing w:line="400" w:lineRule="exact"/>
        <w:rPr>
          <w:rFonts w:cs="宋体"/>
        </w:rPr>
      </w:pPr>
      <w:r>
        <w:rPr>
          <w:rFonts w:hint="eastAsia" w:cs="宋体"/>
        </w:rPr>
        <w:t>12.1 甲方对乙方提交的货物依据招标文件上的技术规格要求和国家有关质量标准进行现场初步验收，外观、说明书符合招标文件技术要求的，给予签收，初步验收不合格的不予签收。货到后，甲方需在</w:t>
      </w:r>
      <w:r>
        <w:rPr>
          <w:rFonts w:hint="eastAsia" w:cs="宋体"/>
          <w:u w:val="single"/>
        </w:rPr>
        <w:t xml:space="preserve">     </w:t>
      </w:r>
      <w:r>
        <w:rPr>
          <w:rFonts w:hint="eastAsia" w:cs="宋体"/>
        </w:rPr>
        <w:t>个工作日内完成验收。</w:t>
      </w:r>
    </w:p>
    <w:p w14:paraId="71775957">
      <w:pPr>
        <w:pStyle w:val="2"/>
        <w:wordWrap w:val="0"/>
        <w:topLinePunct/>
        <w:spacing w:line="400" w:lineRule="exact"/>
        <w:rPr>
          <w:rFonts w:cs="宋体"/>
        </w:rPr>
      </w:pPr>
      <w:r>
        <w:rPr>
          <w:rFonts w:hint="eastAsia" w:cs="宋体"/>
        </w:rPr>
        <w:t>12.2 乙方交货前应对产品作出全面检查和对验收文件进行整理，并列出清单，作为甲方收货验收和使用的技术条件依据，检验的结果应随货物交甲方。</w:t>
      </w:r>
    </w:p>
    <w:p w14:paraId="1DE72859">
      <w:pPr>
        <w:pStyle w:val="2"/>
        <w:wordWrap w:val="0"/>
        <w:topLinePunct/>
        <w:spacing w:line="400" w:lineRule="exact"/>
        <w:rPr>
          <w:rFonts w:cs="宋体"/>
        </w:rPr>
      </w:pPr>
      <w:r>
        <w:rPr>
          <w:rFonts w:hint="eastAsia" w:cs="宋体"/>
        </w:rPr>
        <w:t>12.3 甲方对乙方提供的货物在使用前进行调试时，乙方需负责安装并培训甲方的使用操作人员，并协助甲方一起调试，直到符合技术要求，甲方才做最终验收。</w:t>
      </w:r>
    </w:p>
    <w:p w14:paraId="04E04814">
      <w:pPr>
        <w:pStyle w:val="2"/>
        <w:wordWrap w:val="0"/>
        <w:topLinePunct/>
        <w:spacing w:line="400" w:lineRule="exact"/>
        <w:rPr>
          <w:rFonts w:cs="宋体"/>
        </w:rPr>
      </w:pPr>
      <w:r>
        <w:rPr>
          <w:rFonts w:hint="eastAsia" w:cs="宋体"/>
        </w:rPr>
        <w:t>12.4甲方有权请国家认可的专业检测机构参与初步验收及最终验收，并由其出具质量检测报告。</w:t>
      </w:r>
    </w:p>
    <w:p w14:paraId="35FFA6A1">
      <w:pPr>
        <w:pStyle w:val="2"/>
        <w:wordWrap w:val="0"/>
        <w:topLinePunct/>
        <w:spacing w:line="400" w:lineRule="exact"/>
        <w:rPr>
          <w:rFonts w:cs="宋体"/>
        </w:rPr>
      </w:pPr>
      <w:r>
        <w:rPr>
          <w:rFonts w:hint="eastAsia" w:cs="宋体"/>
        </w:rPr>
        <w:t>12.5 验收时乙方必须在现场，验收完毕后作出验收结果报告；验收费用由乙方承担。</w:t>
      </w:r>
    </w:p>
    <w:p w14:paraId="0AAF3E94">
      <w:pPr>
        <w:pStyle w:val="2"/>
        <w:wordWrap w:val="0"/>
        <w:topLinePunct/>
        <w:spacing w:line="400" w:lineRule="exact"/>
        <w:rPr>
          <w:rFonts w:cs="宋体"/>
        </w:rPr>
      </w:pPr>
      <w:r>
        <w:rPr>
          <w:rFonts w:hint="eastAsia" w:cs="宋体"/>
        </w:rPr>
        <w:t>十三、货物包装、发运及运输</w:t>
      </w:r>
    </w:p>
    <w:p w14:paraId="7FC83036">
      <w:pPr>
        <w:pStyle w:val="2"/>
        <w:wordWrap w:val="0"/>
        <w:topLinePunct/>
        <w:spacing w:line="400" w:lineRule="exact"/>
        <w:rPr>
          <w:rFonts w:cs="宋体"/>
        </w:rPr>
      </w:pPr>
      <w:r>
        <w:rPr>
          <w:rFonts w:hint="eastAsia" w:cs="宋体"/>
        </w:rPr>
        <w:t>13.1 乙方应在货物发运前对其进行满足运输距离、防潮、防震、防锈和防破损装卸等要求包装，以保证货物安全运达甲方指定地点。</w:t>
      </w:r>
    </w:p>
    <w:p w14:paraId="694F8868">
      <w:pPr>
        <w:pStyle w:val="2"/>
        <w:wordWrap w:val="0"/>
        <w:topLinePunct/>
        <w:spacing w:line="400" w:lineRule="exact"/>
        <w:rPr>
          <w:rFonts w:cs="宋体"/>
        </w:rPr>
      </w:pPr>
      <w:r>
        <w:rPr>
          <w:rFonts w:hint="eastAsia" w:cs="宋体"/>
        </w:rPr>
        <w:t>13.2 使用说明书、质量检验证明书、随配附件和工具以及清单一并附于货物内。</w:t>
      </w:r>
    </w:p>
    <w:p w14:paraId="6DF35B6D">
      <w:pPr>
        <w:pStyle w:val="2"/>
        <w:wordWrap w:val="0"/>
        <w:topLinePunct/>
        <w:spacing w:line="400" w:lineRule="exact"/>
        <w:rPr>
          <w:rFonts w:cs="宋体"/>
        </w:rPr>
      </w:pPr>
      <w:r>
        <w:rPr>
          <w:rFonts w:hint="eastAsia" w:cs="宋体"/>
        </w:rPr>
        <w:t>13.3 乙方在货物发运手续办理完毕后24小时内或货到甲方48小时前通知甲方，以准备接货。</w:t>
      </w:r>
    </w:p>
    <w:p w14:paraId="60E3466B">
      <w:pPr>
        <w:pStyle w:val="2"/>
        <w:wordWrap w:val="0"/>
        <w:topLinePunct/>
        <w:spacing w:line="400" w:lineRule="exact"/>
        <w:rPr>
          <w:rFonts w:cs="宋体"/>
        </w:rPr>
      </w:pPr>
      <w:r>
        <w:rPr>
          <w:rFonts w:hint="eastAsia" w:cs="宋体"/>
        </w:rPr>
        <w:t>13.4 货物在交付甲方前发生的风险均由乙方负责。</w:t>
      </w:r>
    </w:p>
    <w:p w14:paraId="6CD37606">
      <w:pPr>
        <w:pStyle w:val="2"/>
        <w:wordWrap w:val="0"/>
        <w:topLinePunct/>
        <w:spacing w:line="400" w:lineRule="exact"/>
        <w:rPr>
          <w:rFonts w:cs="宋体"/>
        </w:rPr>
      </w:pPr>
      <w:r>
        <w:rPr>
          <w:rFonts w:hint="eastAsia" w:cs="宋体"/>
        </w:rPr>
        <w:t>13.5 货物在规定的交付期限内由乙方送达甲方指定的地点视为交付，乙方同时需通知甲方货物已送达。</w:t>
      </w:r>
    </w:p>
    <w:p w14:paraId="61B54EC1">
      <w:pPr>
        <w:pStyle w:val="2"/>
        <w:wordWrap w:val="0"/>
        <w:topLinePunct/>
        <w:spacing w:line="400" w:lineRule="exact"/>
        <w:rPr>
          <w:rFonts w:cs="宋体"/>
        </w:rPr>
      </w:pPr>
      <w:r>
        <w:rPr>
          <w:rFonts w:hint="eastAsia" w:cs="宋体"/>
        </w:rPr>
        <w:t>十四、违约责任</w:t>
      </w:r>
    </w:p>
    <w:p w14:paraId="73FE4079">
      <w:pPr>
        <w:pStyle w:val="2"/>
        <w:wordWrap w:val="0"/>
        <w:topLinePunct/>
        <w:spacing w:line="400" w:lineRule="exact"/>
        <w:rPr>
          <w:rFonts w:cs="宋体"/>
        </w:rPr>
      </w:pPr>
      <w:r>
        <w:rPr>
          <w:rFonts w:hint="eastAsia" w:cs="宋体"/>
        </w:rPr>
        <w:t>14.1 甲方无正当理由拒收货物的，甲方向乙方偿付拒收货款总值的百分之五违约金。</w:t>
      </w:r>
    </w:p>
    <w:p w14:paraId="72AD3088">
      <w:pPr>
        <w:pStyle w:val="2"/>
        <w:wordWrap w:val="0"/>
        <w:topLinePunct/>
        <w:spacing w:line="400" w:lineRule="exact"/>
        <w:rPr>
          <w:rFonts w:cs="宋体"/>
        </w:rPr>
      </w:pPr>
      <w:r>
        <w:rPr>
          <w:rFonts w:hint="eastAsia" w:cs="宋体"/>
        </w:rPr>
        <w:t>14.2 甲方逾期办理货款支付的,应当支付逾期利息，且逾期利息的利率不得低于合同订立时1年期贷款市场报价利率。</w:t>
      </w:r>
    </w:p>
    <w:p w14:paraId="1E891DD5">
      <w:pPr>
        <w:pStyle w:val="2"/>
        <w:wordWrap w:val="0"/>
        <w:topLinePunct/>
        <w:spacing w:line="400" w:lineRule="exact"/>
        <w:rPr>
          <w:rFonts w:cs="宋体"/>
        </w:rPr>
      </w:pPr>
      <w:r>
        <w:rPr>
          <w:rFonts w:hint="eastAsia" w:cs="宋体"/>
        </w:rPr>
        <w:t xml:space="preserve">14.3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p>
    <w:p w14:paraId="50DB1E48">
      <w:pPr>
        <w:pStyle w:val="2"/>
        <w:wordWrap w:val="0"/>
        <w:topLinePunct/>
        <w:spacing w:line="400" w:lineRule="exact"/>
        <w:rPr>
          <w:rFonts w:cs="宋体"/>
        </w:rPr>
      </w:pPr>
      <w:r>
        <w:rPr>
          <w:rFonts w:hint="eastAsia" w:cs="宋体"/>
        </w:rPr>
        <w:t>14.4 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6E1C8AB9">
      <w:pPr>
        <w:pStyle w:val="2"/>
        <w:wordWrap w:val="0"/>
        <w:topLinePunct/>
        <w:spacing w:line="400" w:lineRule="exact"/>
        <w:rPr>
          <w:rFonts w:cs="宋体"/>
        </w:rPr>
      </w:pPr>
      <w:r>
        <w:rPr>
          <w:rFonts w:hint="eastAsia" w:cs="宋体"/>
        </w:rPr>
        <w:t>十五、不可抗力事件处理</w:t>
      </w:r>
    </w:p>
    <w:p w14:paraId="3A7B1D44">
      <w:pPr>
        <w:pStyle w:val="2"/>
        <w:wordWrap w:val="0"/>
        <w:topLinePunct/>
        <w:spacing w:line="400" w:lineRule="exact"/>
        <w:rPr>
          <w:rFonts w:cs="宋体"/>
        </w:rPr>
      </w:pPr>
      <w:r>
        <w:rPr>
          <w:rFonts w:hint="eastAsia" w:cs="宋体"/>
        </w:rPr>
        <w:t>15.1 在合同有效期内，任何一方因不可抗力事件导致不能履行合同，则合同履行期可延长，其延长期与不可抗力影响期相同。</w:t>
      </w:r>
    </w:p>
    <w:p w14:paraId="5CB4CD92">
      <w:pPr>
        <w:pStyle w:val="2"/>
        <w:wordWrap w:val="0"/>
        <w:topLinePunct/>
        <w:spacing w:line="400" w:lineRule="exact"/>
        <w:rPr>
          <w:rFonts w:cs="宋体"/>
        </w:rPr>
      </w:pPr>
      <w:r>
        <w:rPr>
          <w:rFonts w:hint="eastAsia" w:cs="宋体"/>
        </w:rPr>
        <w:t>15.2 不可抗力事件发生后，应立即通知对方，并寄送有关权威机构出具的证明。</w:t>
      </w:r>
    </w:p>
    <w:p w14:paraId="4682F221">
      <w:pPr>
        <w:pStyle w:val="2"/>
        <w:wordWrap w:val="0"/>
        <w:topLinePunct/>
        <w:spacing w:line="400" w:lineRule="exact"/>
        <w:rPr>
          <w:rFonts w:cs="宋体"/>
        </w:rPr>
      </w:pPr>
      <w:r>
        <w:rPr>
          <w:rFonts w:hint="eastAsia" w:cs="宋体"/>
        </w:rPr>
        <w:t>15.3 不可抗力事件延续120天以上，双方应通过友好协商，确定是否继续履行合同。</w:t>
      </w:r>
    </w:p>
    <w:p w14:paraId="393BA27A">
      <w:pPr>
        <w:pStyle w:val="2"/>
        <w:wordWrap w:val="0"/>
        <w:topLinePunct/>
        <w:spacing w:line="400" w:lineRule="exact"/>
        <w:rPr>
          <w:rFonts w:cs="宋体"/>
        </w:rPr>
      </w:pPr>
      <w:r>
        <w:rPr>
          <w:rFonts w:hint="eastAsia" w:cs="宋体"/>
        </w:rPr>
        <w:t>十六、诉讼</w:t>
      </w:r>
    </w:p>
    <w:p w14:paraId="6DAF55A2">
      <w:pPr>
        <w:pStyle w:val="2"/>
        <w:wordWrap w:val="0"/>
        <w:topLinePunct/>
        <w:spacing w:line="400" w:lineRule="exact"/>
        <w:rPr>
          <w:rFonts w:cs="宋体"/>
        </w:rPr>
      </w:pPr>
      <w:r>
        <w:rPr>
          <w:rFonts w:hint="eastAsia" w:cs="宋体"/>
        </w:rPr>
        <w:t>16.1 双方在执行合同中所发生的一切争议，应通过协商解决。如协商不成，可向合同签订地法院起诉，合同签订地在此约定为张家港市。</w:t>
      </w:r>
    </w:p>
    <w:p w14:paraId="65CE1186">
      <w:pPr>
        <w:pStyle w:val="2"/>
        <w:wordWrap w:val="0"/>
        <w:topLinePunct/>
        <w:spacing w:line="400" w:lineRule="exact"/>
        <w:rPr>
          <w:rFonts w:cs="宋体"/>
        </w:rPr>
      </w:pPr>
      <w:r>
        <w:rPr>
          <w:rFonts w:hint="eastAsia" w:cs="宋体"/>
        </w:rPr>
        <w:t>十七、合同其他文件</w:t>
      </w:r>
    </w:p>
    <w:p w14:paraId="0F43AB69">
      <w:pPr>
        <w:pStyle w:val="2"/>
        <w:wordWrap w:val="0"/>
        <w:topLinePunct/>
        <w:spacing w:line="400" w:lineRule="exact"/>
        <w:rPr>
          <w:rFonts w:cs="宋体"/>
        </w:rPr>
      </w:pPr>
      <w:r>
        <w:rPr>
          <w:rFonts w:hint="eastAsia" w:cs="宋体"/>
        </w:rPr>
        <w:t>17.1下列文件为本合同不可分割部份，与本合同具有同等效力。</w:t>
      </w:r>
    </w:p>
    <w:p w14:paraId="455529EE">
      <w:pPr>
        <w:pStyle w:val="2"/>
        <w:wordWrap w:val="0"/>
        <w:topLinePunct/>
        <w:spacing w:line="400" w:lineRule="exact"/>
        <w:rPr>
          <w:rFonts w:cs="宋体"/>
        </w:rPr>
      </w:pPr>
      <w:r>
        <w:rPr>
          <w:rFonts w:hint="eastAsia" w:cs="宋体"/>
        </w:rPr>
        <w:t>(1)中标通知书；</w:t>
      </w:r>
    </w:p>
    <w:p w14:paraId="65FB38AA">
      <w:pPr>
        <w:pStyle w:val="2"/>
        <w:wordWrap w:val="0"/>
        <w:topLinePunct/>
        <w:spacing w:line="400" w:lineRule="exact"/>
        <w:rPr>
          <w:rFonts w:cs="宋体"/>
        </w:rPr>
      </w:pPr>
      <w:r>
        <w:rPr>
          <w:rFonts w:hint="eastAsia" w:cs="宋体"/>
        </w:rPr>
        <w:t>(2)供方中标的投标书；</w:t>
      </w:r>
    </w:p>
    <w:p w14:paraId="419578F8">
      <w:pPr>
        <w:pStyle w:val="2"/>
        <w:wordWrap w:val="0"/>
        <w:topLinePunct/>
        <w:spacing w:line="400" w:lineRule="exact"/>
        <w:rPr>
          <w:rFonts w:cs="宋体"/>
        </w:rPr>
      </w:pPr>
      <w:r>
        <w:rPr>
          <w:rFonts w:hint="eastAsia" w:cs="宋体"/>
        </w:rPr>
        <w:t>(3)招标文件；</w:t>
      </w:r>
    </w:p>
    <w:p w14:paraId="2A479C35">
      <w:pPr>
        <w:pStyle w:val="2"/>
        <w:wordWrap w:val="0"/>
        <w:topLinePunct/>
        <w:spacing w:line="400" w:lineRule="exact"/>
        <w:rPr>
          <w:rFonts w:cs="宋体"/>
        </w:rPr>
      </w:pPr>
      <w:r>
        <w:rPr>
          <w:rFonts w:hint="eastAsia" w:cs="宋体"/>
        </w:rPr>
        <w:t>(4)供方在招投标过程中所作的其他承诺、声明、书面澄清等。</w:t>
      </w:r>
    </w:p>
    <w:p w14:paraId="53B67ED3">
      <w:pPr>
        <w:pStyle w:val="2"/>
        <w:wordWrap w:val="0"/>
        <w:topLinePunct/>
        <w:spacing w:line="400" w:lineRule="exact"/>
        <w:rPr>
          <w:rFonts w:cs="宋体"/>
        </w:rPr>
      </w:pPr>
      <w:r>
        <w:rPr>
          <w:rFonts w:hint="eastAsia" w:cs="宋体"/>
        </w:rPr>
        <w:t>十八、合同生效及其它</w:t>
      </w:r>
    </w:p>
    <w:p w14:paraId="678AED77">
      <w:pPr>
        <w:pStyle w:val="2"/>
        <w:wordWrap w:val="0"/>
        <w:topLinePunct/>
        <w:spacing w:line="400" w:lineRule="exact"/>
        <w:rPr>
          <w:rFonts w:cs="宋体"/>
        </w:rPr>
      </w:pPr>
      <w:r>
        <w:rPr>
          <w:rFonts w:hint="eastAsia" w:cs="宋体"/>
        </w:rPr>
        <w:t>18.1合同经双方法定代表人（或负责人）或授权委托代表人签字并加盖单位公章后生效,生效后至张家港市政府采购管理中心备案。</w:t>
      </w:r>
    </w:p>
    <w:p w14:paraId="12A867BB">
      <w:pPr>
        <w:pStyle w:val="2"/>
        <w:rPr>
          <w:rFonts w:cs="Courier New"/>
          <w:u w:val="single"/>
        </w:rPr>
      </w:pPr>
      <w:r>
        <w:rPr>
          <w:rFonts w:hint="eastAsia" w:cs="宋体"/>
        </w:rPr>
        <w:t>18.2 本合同未尽事宜，遵照《民法典》合同编有关条文执行。</w:t>
      </w:r>
    </w:p>
    <w:tbl>
      <w:tblPr>
        <w:tblStyle w:val="37"/>
        <w:tblW w:w="5141" w:type="pct"/>
        <w:tblInd w:w="0" w:type="dxa"/>
        <w:tblLayout w:type="fixed"/>
        <w:tblCellMar>
          <w:top w:w="0" w:type="dxa"/>
          <w:left w:w="108" w:type="dxa"/>
          <w:bottom w:w="0" w:type="dxa"/>
          <w:right w:w="108" w:type="dxa"/>
        </w:tblCellMar>
      </w:tblPr>
      <w:tblGrid>
        <w:gridCol w:w="5120"/>
        <w:gridCol w:w="5123"/>
      </w:tblGrid>
      <w:tr w14:paraId="013AD96D">
        <w:tblPrEx>
          <w:tblCellMar>
            <w:top w:w="0" w:type="dxa"/>
            <w:left w:w="108" w:type="dxa"/>
            <w:bottom w:w="0" w:type="dxa"/>
            <w:right w:w="108" w:type="dxa"/>
          </w:tblCellMar>
        </w:tblPrEx>
        <w:trPr>
          <w:trHeight w:val="584" w:hRule="atLeast"/>
        </w:trPr>
        <w:tc>
          <w:tcPr>
            <w:tcW w:w="5120" w:type="dxa"/>
            <w:tcBorders>
              <w:tl2br w:val="nil"/>
              <w:tr2bl w:val="nil"/>
            </w:tcBorders>
            <w:tcMar>
              <w:top w:w="100" w:type="dxa"/>
              <w:bottom w:w="100" w:type="dxa"/>
            </w:tcMar>
            <w:vAlign w:val="center"/>
          </w:tcPr>
          <w:p w14:paraId="3B597172">
            <w:pPr>
              <w:pStyle w:val="241"/>
              <w:widowControl w:val="0"/>
              <w:spacing w:line="400" w:lineRule="exact"/>
              <w:rPr>
                <w:rFonts w:ascii="宋体" w:hAnsi="宋体" w:eastAsia="宋体" w:cs="宋体"/>
              </w:rPr>
            </w:pPr>
            <w:r>
              <w:rPr>
                <w:rFonts w:hint="eastAsia" w:ascii="宋体" w:hAnsi="宋体" w:eastAsia="宋体" w:cs="宋体"/>
              </w:rPr>
              <w:t>甲方：</w:t>
            </w:r>
          </w:p>
          <w:p w14:paraId="637394AE">
            <w:pPr>
              <w:pStyle w:val="241"/>
              <w:widowControl w:val="0"/>
              <w:spacing w:line="400" w:lineRule="exact"/>
              <w:rPr>
                <w:rFonts w:ascii="宋体" w:hAnsi="宋体" w:eastAsia="宋体" w:cs="宋体"/>
              </w:rPr>
            </w:pPr>
            <w:r>
              <w:rPr>
                <w:rFonts w:hint="eastAsia" w:ascii="宋体" w:hAnsi="宋体" w:eastAsia="宋体" w:cs="宋体"/>
              </w:rPr>
              <w:t>地址：</w:t>
            </w:r>
          </w:p>
          <w:p w14:paraId="52D68AD9">
            <w:pPr>
              <w:adjustRightInd w:val="0"/>
              <w:snapToGrid w:val="0"/>
              <w:spacing w:line="400" w:lineRule="exact"/>
              <w:ind w:firstLine="0"/>
              <w:jc w:val="left"/>
              <w:rPr>
                <w:rFonts w:ascii="宋体" w:hAnsi="宋体" w:cs="宋体"/>
                <w:sz w:val="24"/>
              </w:rPr>
            </w:pPr>
            <w:r>
              <w:rPr>
                <w:rFonts w:hint="eastAsia" w:ascii="宋体" w:hAnsi="宋体" w:cs="宋体"/>
                <w:sz w:val="24"/>
              </w:rPr>
              <w:t>法定代表人或授权代表：</w:t>
            </w:r>
          </w:p>
          <w:p w14:paraId="1FEDF73B">
            <w:pPr>
              <w:adjustRightInd w:val="0"/>
              <w:snapToGrid w:val="0"/>
              <w:spacing w:line="400" w:lineRule="exact"/>
              <w:ind w:firstLine="0"/>
              <w:jc w:val="left"/>
              <w:rPr>
                <w:rFonts w:ascii="宋体" w:hAnsi="宋体" w:cs="宋体"/>
                <w:sz w:val="24"/>
              </w:rPr>
            </w:pPr>
            <w:r>
              <w:rPr>
                <w:rFonts w:hint="eastAsia" w:ascii="宋体" w:hAnsi="宋体" w:cs="宋体"/>
                <w:sz w:val="24"/>
              </w:rPr>
              <w:t>联系电话：</w:t>
            </w:r>
          </w:p>
          <w:p w14:paraId="2C4362D1">
            <w:pPr>
              <w:spacing w:line="400" w:lineRule="exact"/>
              <w:ind w:firstLine="0"/>
              <w:jc w:val="right"/>
              <w:rPr>
                <w:rFonts w:ascii="宋体" w:hAnsi="宋体" w:cs="宋体"/>
                <w:sz w:val="24"/>
              </w:rPr>
            </w:pPr>
            <w:r>
              <w:rPr>
                <w:rFonts w:hint="eastAsia" w:ascii="宋体" w:hAnsi="宋体" w:cs="宋体"/>
                <w:sz w:val="24"/>
              </w:rPr>
              <w:t>签订日期：      年    月   日</w:t>
            </w:r>
          </w:p>
        </w:tc>
        <w:tc>
          <w:tcPr>
            <w:tcW w:w="5123" w:type="dxa"/>
            <w:tcBorders>
              <w:tl2br w:val="nil"/>
              <w:tr2bl w:val="nil"/>
            </w:tcBorders>
            <w:tcMar>
              <w:top w:w="100" w:type="dxa"/>
              <w:bottom w:w="100" w:type="dxa"/>
            </w:tcMar>
            <w:vAlign w:val="center"/>
          </w:tcPr>
          <w:p w14:paraId="655C967D">
            <w:pPr>
              <w:pStyle w:val="241"/>
              <w:widowControl w:val="0"/>
              <w:spacing w:line="400" w:lineRule="exact"/>
              <w:rPr>
                <w:rFonts w:ascii="宋体" w:hAnsi="宋体" w:eastAsia="宋体" w:cs="宋体"/>
              </w:rPr>
            </w:pPr>
            <w:r>
              <w:rPr>
                <w:rFonts w:hint="eastAsia" w:ascii="宋体" w:hAnsi="宋体" w:eastAsia="宋体" w:cs="宋体"/>
              </w:rPr>
              <w:t>乙方：</w:t>
            </w:r>
          </w:p>
          <w:p w14:paraId="59C88008">
            <w:pPr>
              <w:pStyle w:val="241"/>
              <w:widowControl w:val="0"/>
              <w:spacing w:line="400" w:lineRule="exact"/>
              <w:rPr>
                <w:rFonts w:ascii="宋体" w:hAnsi="宋体" w:eastAsia="宋体" w:cs="宋体"/>
              </w:rPr>
            </w:pPr>
            <w:r>
              <w:rPr>
                <w:rFonts w:hint="eastAsia" w:ascii="宋体" w:hAnsi="宋体" w:eastAsia="宋体" w:cs="宋体"/>
              </w:rPr>
              <w:t>地址：</w:t>
            </w:r>
          </w:p>
          <w:p w14:paraId="3022B14D">
            <w:pPr>
              <w:adjustRightInd w:val="0"/>
              <w:snapToGrid w:val="0"/>
              <w:spacing w:line="400" w:lineRule="exact"/>
              <w:ind w:firstLine="0"/>
              <w:jc w:val="left"/>
              <w:rPr>
                <w:rFonts w:ascii="宋体" w:hAnsi="宋体" w:cs="宋体"/>
                <w:sz w:val="24"/>
              </w:rPr>
            </w:pPr>
            <w:r>
              <w:rPr>
                <w:rFonts w:hint="eastAsia" w:ascii="宋体" w:hAnsi="宋体" w:cs="宋体"/>
                <w:sz w:val="24"/>
              </w:rPr>
              <w:t>法定代表人或授权代表：</w:t>
            </w:r>
          </w:p>
          <w:p w14:paraId="55FB6C62">
            <w:pPr>
              <w:adjustRightInd w:val="0"/>
              <w:snapToGrid w:val="0"/>
              <w:spacing w:line="400" w:lineRule="exact"/>
              <w:ind w:firstLine="0"/>
              <w:jc w:val="left"/>
              <w:rPr>
                <w:rFonts w:ascii="宋体" w:hAnsi="宋体" w:cs="宋体"/>
                <w:sz w:val="24"/>
              </w:rPr>
            </w:pPr>
            <w:r>
              <w:rPr>
                <w:rFonts w:hint="eastAsia" w:ascii="宋体" w:hAnsi="宋体" w:cs="宋体"/>
                <w:sz w:val="24"/>
              </w:rPr>
              <w:t>联系电话：</w:t>
            </w:r>
          </w:p>
          <w:p w14:paraId="0F065111">
            <w:pPr>
              <w:pStyle w:val="241"/>
              <w:widowControl w:val="0"/>
              <w:spacing w:line="400" w:lineRule="exact"/>
              <w:jc w:val="right"/>
              <w:rPr>
                <w:rFonts w:ascii="宋体" w:hAnsi="宋体" w:eastAsia="宋体" w:cs="宋体"/>
              </w:rPr>
            </w:pPr>
            <w:r>
              <w:rPr>
                <w:rFonts w:hint="eastAsia" w:ascii="宋体" w:hAnsi="宋体" w:eastAsia="宋体" w:cs="宋体"/>
              </w:rPr>
              <w:t>签订日期：      年    月   日</w:t>
            </w:r>
          </w:p>
        </w:tc>
      </w:tr>
      <w:tr w14:paraId="7A138259">
        <w:tblPrEx>
          <w:tblCellMar>
            <w:top w:w="0" w:type="dxa"/>
            <w:left w:w="108" w:type="dxa"/>
            <w:bottom w:w="0" w:type="dxa"/>
            <w:right w:w="108" w:type="dxa"/>
          </w:tblCellMar>
        </w:tblPrEx>
        <w:tc>
          <w:tcPr>
            <w:tcW w:w="5120" w:type="dxa"/>
            <w:tcBorders>
              <w:tl2br w:val="nil"/>
              <w:tr2bl w:val="nil"/>
            </w:tcBorders>
            <w:tcMar>
              <w:top w:w="100" w:type="dxa"/>
              <w:bottom w:w="100" w:type="dxa"/>
            </w:tcMar>
            <w:vAlign w:val="center"/>
          </w:tcPr>
          <w:p w14:paraId="536616F0">
            <w:pPr>
              <w:pStyle w:val="241"/>
              <w:widowControl w:val="0"/>
              <w:spacing w:line="400" w:lineRule="exact"/>
              <w:rPr>
                <w:rFonts w:ascii="宋体" w:hAnsi="宋体" w:eastAsia="宋体" w:cs="宋体"/>
              </w:rPr>
            </w:pPr>
            <w:r>
              <w:rPr>
                <w:rFonts w:hint="eastAsia" w:ascii="宋体" w:hAnsi="宋体" w:eastAsia="宋体" w:cs="宋体"/>
              </w:rPr>
              <w:t>代理机构：张家港市旭达咨询有限公司</w:t>
            </w:r>
          </w:p>
          <w:p w14:paraId="44223464">
            <w:pPr>
              <w:pStyle w:val="241"/>
              <w:widowControl w:val="0"/>
              <w:spacing w:line="400" w:lineRule="exact"/>
              <w:rPr>
                <w:rFonts w:ascii="宋体" w:hAnsi="宋体" w:eastAsia="宋体" w:cs="宋体"/>
              </w:rPr>
            </w:pPr>
            <w:r>
              <w:rPr>
                <w:rFonts w:hint="eastAsia" w:ascii="宋体" w:hAnsi="宋体" w:eastAsia="宋体" w:cs="宋体"/>
              </w:rPr>
              <w:t>经办人：</w:t>
            </w:r>
          </w:p>
          <w:p w14:paraId="57CA5601">
            <w:pPr>
              <w:pStyle w:val="241"/>
              <w:widowControl w:val="0"/>
              <w:spacing w:line="400" w:lineRule="exact"/>
              <w:rPr>
                <w:rFonts w:ascii="宋体" w:hAnsi="宋体" w:eastAsia="宋体" w:cs="宋体"/>
              </w:rPr>
            </w:pPr>
            <w:r>
              <w:rPr>
                <w:rFonts w:hint="eastAsia" w:ascii="宋体" w:hAnsi="宋体" w:eastAsia="宋体" w:cs="宋体"/>
              </w:rPr>
              <w:t>联系电话：0512-58647780</w:t>
            </w:r>
          </w:p>
        </w:tc>
        <w:tc>
          <w:tcPr>
            <w:tcW w:w="5123" w:type="dxa"/>
            <w:tcBorders>
              <w:tl2br w:val="nil"/>
              <w:tr2bl w:val="nil"/>
            </w:tcBorders>
            <w:tcMar>
              <w:top w:w="100" w:type="dxa"/>
              <w:bottom w:w="100" w:type="dxa"/>
            </w:tcMar>
            <w:vAlign w:val="center"/>
          </w:tcPr>
          <w:p w14:paraId="31C19632">
            <w:pPr>
              <w:pStyle w:val="241"/>
              <w:widowControl w:val="0"/>
              <w:spacing w:line="400" w:lineRule="exact"/>
              <w:jc w:val="both"/>
              <w:rPr>
                <w:rFonts w:ascii="宋体" w:hAnsi="宋体" w:eastAsia="宋体" w:cs="宋体"/>
              </w:rPr>
            </w:pPr>
            <w:r>
              <w:rPr>
                <w:rFonts w:hint="eastAsia" w:ascii="宋体" w:hAnsi="宋体" w:eastAsia="宋体" w:cs="宋体"/>
              </w:rPr>
              <w:t>备案：张家港市政府采购管理中心</w:t>
            </w:r>
          </w:p>
        </w:tc>
      </w:tr>
    </w:tbl>
    <w:p w14:paraId="6738963D">
      <w:pPr>
        <w:pStyle w:val="236"/>
        <w:rPr>
          <w:rStyle w:val="203"/>
          <w:rFonts w:cs="宋体"/>
          <w:bCs/>
          <w:color w:val="000000"/>
        </w:rPr>
      </w:pPr>
    </w:p>
    <w:bookmarkEnd w:id="160"/>
    <w:bookmarkEnd w:id="161"/>
    <w:bookmarkEnd w:id="162"/>
    <w:bookmarkEnd w:id="163"/>
    <w:bookmarkEnd w:id="164"/>
    <w:p w14:paraId="6919C9D0"/>
    <w:p w14:paraId="1B147244">
      <w:pPr>
        <w:pageBreakBefore/>
        <w:numPr>
          <w:ilvl w:val="0"/>
          <w:numId w:val="2"/>
        </w:numPr>
        <w:spacing w:after="20" w:line="480" w:lineRule="exact"/>
        <w:jc w:val="center"/>
        <w:outlineLvl w:val="0"/>
        <w:rPr>
          <w:rFonts w:ascii="宋体" w:hAnsi="宋体" w:cs="宋体"/>
          <w:b/>
          <w:bCs/>
          <w:sz w:val="32"/>
          <w:szCs w:val="32"/>
        </w:rPr>
      </w:pPr>
      <w:bookmarkStart w:id="167" w:name="_Toc13251"/>
      <w:bookmarkStart w:id="168" w:name="_Toc3329"/>
      <w:bookmarkStart w:id="169" w:name="_Toc18404"/>
      <w:bookmarkStart w:id="170" w:name="_Toc25031"/>
      <w:bookmarkStart w:id="171" w:name="_Toc7502"/>
      <w:bookmarkStart w:id="172" w:name="_Toc3084"/>
      <w:bookmarkStart w:id="173" w:name="_Toc2284"/>
      <w:bookmarkStart w:id="174" w:name="_Toc26554093"/>
      <w:bookmarkStart w:id="175" w:name="_Toc49090575"/>
      <w:bookmarkStart w:id="176" w:name="_Toc120614281"/>
      <w:r>
        <w:rPr>
          <w:rFonts w:hint="eastAsia" w:ascii="宋体" w:hAnsi="宋体" w:cs="宋体"/>
          <w:b/>
          <w:bCs/>
          <w:sz w:val="32"/>
          <w:szCs w:val="32"/>
        </w:rPr>
        <w:t>项目需求</w:t>
      </w:r>
      <w:bookmarkEnd w:id="167"/>
      <w:bookmarkEnd w:id="168"/>
      <w:bookmarkEnd w:id="169"/>
      <w:bookmarkEnd w:id="170"/>
      <w:bookmarkEnd w:id="171"/>
      <w:bookmarkEnd w:id="172"/>
      <w:bookmarkEnd w:id="173"/>
    </w:p>
    <w:p w14:paraId="4B573F04">
      <w:pPr>
        <w:widowControl/>
        <w:numPr>
          <w:ilvl w:val="0"/>
          <w:numId w:val="11"/>
        </w:numPr>
        <w:spacing w:before="120" w:after="120"/>
        <w:ind w:firstLine="0"/>
        <w:outlineLvl w:val="1"/>
        <w:rPr>
          <w:rFonts w:ascii="宋体" w:hAnsi="宋体" w:cs="宋体"/>
          <w:b/>
          <w:sz w:val="28"/>
          <w:szCs w:val="28"/>
        </w:rPr>
      </w:pPr>
      <w:bookmarkStart w:id="177" w:name="_Toc14486"/>
      <w:bookmarkStart w:id="178" w:name="_Toc9671"/>
      <w:bookmarkStart w:id="179" w:name="_Toc6092"/>
      <w:r>
        <w:rPr>
          <w:rFonts w:hint="eastAsia" w:ascii="宋体" w:hAnsi="宋体" w:cs="宋体"/>
          <w:b/>
          <w:color w:val="000000"/>
          <w:sz w:val="28"/>
          <w:szCs w:val="28"/>
        </w:rPr>
        <w:t>清单</w:t>
      </w:r>
      <w:bookmarkEnd w:id="177"/>
      <w:bookmarkEnd w:id="178"/>
      <w:bookmarkEnd w:id="179"/>
    </w:p>
    <w:p w14:paraId="5DE2F245">
      <w:pPr>
        <w:pStyle w:val="259"/>
        <w:spacing w:line="440" w:lineRule="exact"/>
        <w:ind w:firstLine="500"/>
        <w:rPr>
          <w:rFonts w:ascii="宋体" w:hAnsi="宋体" w:eastAsia="宋体" w:cs="宋体"/>
          <w:spacing w:val="7"/>
        </w:rPr>
      </w:pPr>
      <w:r>
        <w:rPr>
          <w:rFonts w:ascii="宋体" w:hAnsi="宋体" w:eastAsia="宋体" w:cs="宋体"/>
          <w:color w:val="000000"/>
          <w:spacing w:val="7"/>
        </w:rPr>
        <w:t>1.清单</w:t>
      </w:r>
    </w:p>
    <w:tbl>
      <w:tblPr>
        <w:tblStyle w:val="37"/>
        <w:tblW w:w="49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5"/>
        <w:gridCol w:w="1839"/>
        <w:gridCol w:w="865"/>
        <w:gridCol w:w="762"/>
        <w:gridCol w:w="3600"/>
        <w:gridCol w:w="1354"/>
        <w:gridCol w:w="939"/>
      </w:tblGrid>
      <w:tr w14:paraId="17E0F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EB65525">
            <w:pPr>
              <w:pStyle w:val="241"/>
              <w:jc w:val="center"/>
              <w:rPr>
                <w:rFonts w:ascii="宋体" w:hAnsi="宋体" w:eastAsia="宋体" w:cs="宋体"/>
              </w:rPr>
            </w:pPr>
            <w:r>
              <w:rPr>
                <w:rFonts w:ascii="宋体" w:hAnsi="宋体" w:eastAsia="宋体" w:cs="宋体"/>
                <w:color w:val="000000"/>
              </w:rPr>
              <w:t>序号</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4C69C9D">
            <w:pPr>
              <w:pStyle w:val="241"/>
              <w:jc w:val="center"/>
              <w:rPr>
                <w:rFonts w:ascii="宋体" w:hAnsi="宋体" w:eastAsia="宋体" w:cs="宋体"/>
              </w:rPr>
            </w:pPr>
            <w:r>
              <w:rPr>
                <w:rFonts w:ascii="宋体" w:hAnsi="宋体" w:eastAsia="宋体" w:cs="宋体"/>
                <w:color w:val="000000"/>
              </w:rPr>
              <w:t>名称</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23EB608">
            <w:pPr>
              <w:pStyle w:val="241"/>
              <w:jc w:val="center"/>
              <w:rPr>
                <w:rFonts w:ascii="宋体" w:hAnsi="宋体" w:eastAsia="宋体" w:cs="宋体"/>
              </w:rPr>
            </w:pPr>
            <w:r>
              <w:rPr>
                <w:rFonts w:hint="eastAsia" w:ascii="宋体" w:hAnsi="宋体" w:eastAsia="宋体" w:cs="宋体"/>
                <w:color w:val="000000"/>
              </w:rPr>
              <w:t>单位</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C322821">
            <w:pPr>
              <w:pStyle w:val="241"/>
              <w:jc w:val="center"/>
              <w:rPr>
                <w:rFonts w:ascii="宋体" w:hAnsi="宋体" w:eastAsia="宋体" w:cs="宋体"/>
              </w:rPr>
            </w:pPr>
            <w:r>
              <w:rPr>
                <w:rFonts w:hint="eastAsia" w:ascii="宋体" w:hAnsi="宋体" w:eastAsia="宋体" w:cs="宋体"/>
                <w:color w:val="000000"/>
              </w:rPr>
              <w:t>数量</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CA58B8B">
            <w:pPr>
              <w:pStyle w:val="241"/>
              <w:jc w:val="center"/>
              <w:rPr>
                <w:rFonts w:ascii="宋体" w:hAnsi="宋体" w:eastAsia="宋体" w:cs="宋体"/>
              </w:rPr>
            </w:pPr>
            <w:r>
              <w:rPr>
                <w:rFonts w:ascii="宋体" w:hAnsi="宋体" w:eastAsia="宋体" w:cs="宋体"/>
                <w:color w:val="000000"/>
              </w:rPr>
              <w:t>所属行业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E92BE2D">
            <w:pPr>
              <w:pStyle w:val="241"/>
              <w:jc w:val="center"/>
              <w:rPr>
                <w:rFonts w:ascii="宋体" w:hAnsi="宋体" w:eastAsia="宋体" w:cs="宋体"/>
                <w:color w:val="000000"/>
              </w:rPr>
            </w:pPr>
            <w:r>
              <w:rPr>
                <w:rFonts w:hint="eastAsia" w:ascii="宋体" w:hAnsi="宋体" w:eastAsia="宋体" w:cs="宋体"/>
                <w:color w:val="000000"/>
              </w:rPr>
              <w:t>标的类型</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1C984A0">
            <w:pPr>
              <w:pStyle w:val="241"/>
              <w:jc w:val="center"/>
              <w:rPr>
                <w:rFonts w:ascii="宋体" w:hAnsi="宋体" w:eastAsia="宋体" w:cs="宋体"/>
                <w:color w:val="000000"/>
              </w:rPr>
            </w:pPr>
            <w:r>
              <w:rPr>
                <w:rFonts w:hint="eastAsia" w:ascii="宋体" w:hAnsi="宋体" w:eastAsia="宋体" w:cs="宋体"/>
                <w:color w:val="000000"/>
              </w:rPr>
              <w:t>标的属性</w:t>
            </w:r>
          </w:p>
        </w:tc>
      </w:tr>
      <w:tr w14:paraId="1A4C6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73BFB81">
            <w:pPr>
              <w:pStyle w:val="241"/>
              <w:jc w:val="center"/>
              <w:rPr>
                <w:rFonts w:ascii="宋体" w:hAnsi="宋体" w:eastAsia="宋体" w:cs="宋体"/>
                <w:color w:val="000000"/>
              </w:rPr>
            </w:pPr>
            <w:r>
              <w:rPr>
                <w:rFonts w:hint="eastAsia" w:ascii="宋体" w:hAnsi="宋体" w:eastAsia="宋体" w:cs="宋体"/>
                <w:color w:val="000000"/>
              </w:rPr>
              <w:t>1</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C61C84F">
            <w:pPr>
              <w:pStyle w:val="241"/>
              <w:jc w:val="center"/>
              <w:rPr>
                <w:rFonts w:ascii="宋体" w:hAnsi="宋体" w:eastAsia="宋体" w:cs="宋体"/>
                <w:color w:val="000000"/>
              </w:rPr>
            </w:pPr>
            <w:r>
              <w:rPr>
                <w:rFonts w:hint="eastAsia" w:ascii="宋体" w:hAnsi="宋体" w:eastAsia="宋体" w:cs="宋体"/>
                <w:color w:val="000000"/>
              </w:rPr>
              <w:t>监控立杆</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B2DBCFF">
            <w:pPr>
              <w:pStyle w:val="241"/>
              <w:jc w:val="center"/>
              <w:rPr>
                <w:rFonts w:ascii="宋体" w:hAnsi="宋体" w:eastAsia="宋体" w:cs="宋体"/>
                <w:color w:val="000000"/>
              </w:rPr>
            </w:pPr>
            <w:r>
              <w:rPr>
                <w:rFonts w:hint="eastAsia" w:ascii="宋体" w:hAnsi="宋体" w:eastAsia="宋体" w:cs="宋体"/>
                <w:color w:val="000000"/>
              </w:rPr>
              <w:t>套</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F543FAC">
            <w:pPr>
              <w:pStyle w:val="241"/>
              <w:jc w:val="center"/>
              <w:rPr>
                <w:rFonts w:ascii="宋体" w:hAnsi="宋体" w:eastAsia="宋体" w:cs="宋体"/>
                <w:color w:val="000000"/>
              </w:rPr>
            </w:pPr>
            <w:r>
              <w:rPr>
                <w:rFonts w:hint="eastAsia" w:ascii="宋体" w:hAnsi="宋体" w:eastAsia="宋体" w:cs="宋体"/>
                <w:color w:val="000000"/>
              </w:rPr>
              <w:t>61</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63D6344">
            <w:pPr>
              <w:pStyle w:val="241"/>
              <w:jc w:val="center"/>
              <w:rPr>
                <w:rFonts w:ascii="宋体" w:hAnsi="宋体" w:eastAsia="宋体" w:cs="宋体"/>
                <w:color w:val="000000"/>
              </w:rPr>
            </w:pPr>
            <w:r>
              <w:rPr>
                <w:rFonts w:ascii="宋体" w:hAnsi="宋体" w:eastAsia="宋体" w:cs="宋体"/>
                <w:color w:val="000000"/>
              </w:rPr>
              <w:t>工业（包括采矿业，制造业，电力、热力、燃气及水生产和供应业）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B45D860">
            <w:pPr>
              <w:pStyle w:val="241"/>
              <w:jc w:val="center"/>
              <w:rPr>
                <w:rFonts w:ascii="宋体" w:hAnsi="宋体" w:eastAsia="宋体" w:cs="宋体"/>
                <w:color w:val="000000"/>
              </w:rPr>
            </w:pPr>
            <w:r>
              <w:rPr>
                <w:rFonts w:ascii="宋体" w:hAnsi="宋体" w:eastAsia="宋体" w:cs="宋体"/>
                <w:color w:val="000000"/>
              </w:rPr>
              <w:t>配件、辅料</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38185FD">
            <w:pPr>
              <w:pStyle w:val="241"/>
              <w:jc w:val="center"/>
              <w:rPr>
                <w:rFonts w:ascii="宋体" w:hAnsi="宋体" w:eastAsia="宋体" w:cs="宋体"/>
                <w:color w:val="000000"/>
              </w:rPr>
            </w:pPr>
            <w:r>
              <w:rPr>
                <w:rFonts w:ascii="宋体" w:hAnsi="宋体" w:eastAsia="宋体" w:cs="宋体"/>
                <w:color w:val="000000"/>
              </w:rPr>
              <w:t>货物类</w:t>
            </w:r>
          </w:p>
        </w:tc>
      </w:tr>
      <w:tr w14:paraId="10268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16A6277">
            <w:pPr>
              <w:pStyle w:val="241"/>
              <w:jc w:val="center"/>
              <w:rPr>
                <w:rFonts w:ascii="宋体" w:hAnsi="宋体" w:eastAsia="宋体" w:cs="宋体"/>
                <w:color w:val="000000"/>
              </w:rPr>
            </w:pPr>
            <w:r>
              <w:rPr>
                <w:rFonts w:hint="eastAsia" w:ascii="宋体" w:hAnsi="宋体" w:eastAsia="宋体" w:cs="宋体"/>
                <w:color w:val="000000"/>
              </w:rPr>
              <w:t>2</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637D8C4">
            <w:pPr>
              <w:pStyle w:val="241"/>
              <w:jc w:val="center"/>
              <w:rPr>
                <w:rFonts w:ascii="宋体" w:hAnsi="宋体" w:eastAsia="宋体" w:cs="宋体"/>
                <w:color w:val="000000"/>
              </w:rPr>
            </w:pPr>
            <w:r>
              <w:rPr>
                <w:rFonts w:hint="eastAsia" w:ascii="宋体" w:hAnsi="宋体" w:eastAsia="宋体" w:cs="宋体"/>
                <w:color w:val="000000"/>
              </w:rPr>
              <w:t>普通监控</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1808CFF">
            <w:pPr>
              <w:pStyle w:val="241"/>
              <w:jc w:val="center"/>
              <w:rPr>
                <w:rFonts w:ascii="宋体" w:hAnsi="宋体" w:eastAsia="宋体" w:cs="宋体"/>
                <w:color w:val="000000"/>
              </w:rPr>
            </w:pPr>
            <w:r>
              <w:rPr>
                <w:rFonts w:hint="eastAsia" w:ascii="宋体" w:hAnsi="宋体" w:eastAsia="宋体" w:cs="宋体"/>
                <w:color w:val="000000"/>
              </w:rPr>
              <w:t>个</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4B0EC5F">
            <w:pPr>
              <w:pStyle w:val="241"/>
              <w:jc w:val="center"/>
              <w:rPr>
                <w:rFonts w:hint="eastAsia" w:ascii="宋体" w:hAnsi="宋体" w:eastAsia="宋体" w:cs="宋体"/>
                <w:color w:val="000000"/>
              </w:rPr>
            </w:pPr>
            <w:r>
              <w:rPr>
                <w:rFonts w:hint="eastAsia" w:ascii="宋体" w:hAnsi="宋体" w:eastAsia="宋体" w:cs="宋体"/>
                <w:color w:val="000000"/>
              </w:rPr>
              <w:t>38</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592B0B5">
            <w:pPr>
              <w:pStyle w:val="241"/>
              <w:jc w:val="center"/>
              <w:rPr>
                <w:rFonts w:ascii="宋体" w:hAnsi="宋体" w:eastAsia="宋体" w:cs="宋体"/>
                <w:color w:val="000000"/>
              </w:rPr>
            </w:pPr>
            <w:r>
              <w:rPr>
                <w:rFonts w:ascii="宋体" w:hAnsi="宋体" w:eastAsia="宋体" w:cs="宋体"/>
                <w:color w:val="000000"/>
              </w:rPr>
              <w:t>工业（包括采矿业，制造业，电力、热力、燃气及水生产和供应业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DD62728">
            <w:pPr>
              <w:pStyle w:val="241"/>
              <w:jc w:val="center"/>
              <w:rPr>
                <w:rFonts w:ascii="宋体" w:hAnsi="宋体" w:eastAsia="宋体" w:cs="宋体"/>
                <w:color w:val="000000"/>
              </w:rPr>
            </w:pPr>
            <w:r>
              <w:rPr>
                <w:rFonts w:ascii="宋体" w:hAnsi="宋体" w:eastAsia="宋体" w:cs="宋体"/>
                <w:color w:val="000000"/>
              </w:rPr>
              <w:t>配件、辅料</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9BF3917">
            <w:pPr>
              <w:pStyle w:val="241"/>
              <w:jc w:val="center"/>
              <w:rPr>
                <w:rFonts w:ascii="宋体" w:hAnsi="宋体" w:eastAsia="宋体" w:cs="宋体"/>
                <w:color w:val="000000"/>
              </w:rPr>
            </w:pPr>
            <w:r>
              <w:rPr>
                <w:rFonts w:ascii="宋体" w:hAnsi="宋体" w:eastAsia="宋体" w:cs="宋体"/>
                <w:color w:val="000000"/>
              </w:rPr>
              <w:t>货物类</w:t>
            </w:r>
          </w:p>
        </w:tc>
      </w:tr>
      <w:tr w14:paraId="6FC3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AD821E3">
            <w:pPr>
              <w:pStyle w:val="241"/>
              <w:jc w:val="center"/>
              <w:rPr>
                <w:rFonts w:ascii="宋体" w:hAnsi="宋体" w:eastAsia="宋体" w:cs="宋体"/>
                <w:color w:val="000000"/>
              </w:rPr>
            </w:pPr>
            <w:r>
              <w:rPr>
                <w:rFonts w:hint="eastAsia" w:ascii="宋体" w:hAnsi="宋体" w:eastAsia="宋体" w:cs="宋体"/>
                <w:color w:val="000000"/>
              </w:rPr>
              <w:t>3</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6374811">
            <w:pPr>
              <w:pStyle w:val="241"/>
              <w:jc w:val="center"/>
              <w:rPr>
                <w:rFonts w:ascii="宋体" w:hAnsi="宋体" w:eastAsia="宋体" w:cs="宋体"/>
                <w:color w:val="000000"/>
              </w:rPr>
            </w:pPr>
            <w:r>
              <w:rPr>
                <w:rFonts w:hint="eastAsia" w:ascii="宋体" w:hAnsi="宋体" w:eastAsia="宋体" w:cs="宋体"/>
                <w:color w:val="000000"/>
              </w:rPr>
              <w:t>AI监控</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69FBE30">
            <w:pPr>
              <w:pStyle w:val="241"/>
              <w:jc w:val="center"/>
              <w:rPr>
                <w:rFonts w:ascii="宋体" w:hAnsi="宋体" w:eastAsia="宋体" w:cs="宋体"/>
                <w:color w:val="000000"/>
              </w:rPr>
            </w:pPr>
            <w:r>
              <w:rPr>
                <w:rFonts w:hint="eastAsia" w:ascii="宋体" w:hAnsi="宋体" w:eastAsia="宋体" w:cs="宋体"/>
                <w:color w:val="000000"/>
              </w:rPr>
              <w:t>个</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AD09CFD">
            <w:pPr>
              <w:pStyle w:val="241"/>
              <w:jc w:val="center"/>
              <w:rPr>
                <w:rFonts w:hint="eastAsia" w:ascii="宋体" w:hAnsi="宋体" w:eastAsia="宋体" w:cs="宋体"/>
                <w:color w:val="000000"/>
              </w:rPr>
            </w:pPr>
            <w:r>
              <w:rPr>
                <w:rFonts w:hint="eastAsia" w:ascii="宋体" w:hAnsi="宋体" w:eastAsia="宋体" w:cs="宋体"/>
                <w:color w:val="000000"/>
              </w:rPr>
              <w:t>64</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E33497D">
            <w:pPr>
              <w:pStyle w:val="241"/>
              <w:jc w:val="center"/>
              <w:rPr>
                <w:rFonts w:ascii="宋体" w:hAnsi="宋体" w:eastAsia="宋体" w:cs="宋体"/>
                <w:color w:val="000000"/>
              </w:rPr>
            </w:pPr>
            <w:r>
              <w:rPr>
                <w:rFonts w:ascii="宋体" w:hAnsi="宋体" w:eastAsia="宋体" w:cs="宋体"/>
                <w:color w:val="000000"/>
              </w:rPr>
              <w:t>工业（包括采矿业，制造业，电力、热力、燃气及水生产和供应业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679EA16">
            <w:pPr>
              <w:pStyle w:val="241"/>
              <w:jc w:val="center"/>
              <w:rPr>
                <w:rFonts w:ascii="宋体" w:hAnsi="宋体" w:eastAsia="宋体" w:cs="宋体"/>
                <w:color w:val="000000"/>
              </w:rPr>
            </w:pPr>
            <w:r>
              <w:rPr>
                <w:rFonts w:ascii="宋体" w:hAnsi="宋体" w:eastAsia="宋体" w:cs="宋体"/>
                <w:color w:val="000000"/>
              </w:rPr>
              <w:t>配件、辅料</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218D623">
            <w:pPr>
              <w:pStyle w:val="241"/>
              <w:jc w:val="center"/>
              <w:rPr>
                <w:rFonts w:ascii="宋体" w:hAnsi="宋体" w:eastAsia="宋体" w:cs="宋体"/>
                <w:color w:val="000000"/>
              </w:rPr>
            </w:pPr>
            <w:r>
              <w:rPr>
                <w:rFonts w:ascii="宋体" w:hAnsi="宋体" w:eastAsia="宋体" w:cs="宋体"/>
                <w:color w:val="000000"/>
              </w:rPr>
              <w:t>货物类</w:t>
            </w:r>
          </w:p>
        </w:tc>
      </w:tr>
      <w:tr w14:paraId="6D185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0433A91">
            <w:pPr>
              <w:pStyle w:val="241"/>
              <w:jc w:val="center"/>
              <w:rPr>
                <w:rFonts w:ascii="宋体" w:hAnsi="宋体" w:eastAsia="宋体" w:cs="宋体"/>
                <w:color w:val="000000"/>
              </w:rPr>
            </w:pPr>
            <w:r>
              <w:rPr>
                <w:rFonts w:hint="eastAsia" w:ascii="宋体" w:hAnsi="宋体" w:eastAsia="宋体" w:cs="宋体"/>
                <w:color w:val="000000"/>
              </w:rPr>
              <w:t>4</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E796CB1">
            <w:pPr>
              <w:pStyle w:val="241"/>
              <w:jc w:val="center"/>
              <w:rPr>
                <w:rFonts w:ascii="宋体" w:hAnsi="宋体" w:eastAsia="宋体" w:cs="宋体"/>
                <w:color w:val="000000"/>
              </w:rPr>
            </w:pPr>
            <w:r>
              <w:rPr>
                <w:rFonts w:hint="eastAsia" w:ascii="宋体" w:hAnsi="宋体" w:eastAsia="宋体" w:cs="宋体"/>
                <w:color w:val="000000"/>
              </w:rPr>
              <w:t>监控接电</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58E9371">
            <w:pPr>
              <w:pStyle w:val="241"/>
              <w:jc w:val="center"/>
              <w:rPr>
                <w:rFonts w:ascii="宋体" w:hAnsi="宋体" w:eastAsia="宋体" w:cs="宋体"/>
                <w:color w:val="000000"/>
              </w:rPr>
            </w:pPr>
            <w:r>
              <w:rPr>
                <w:rFonts w:hint="eastAsia" w:ascii="宋体" w:hAnsi="宋体" w:eastAsia="宋体" w:cs="宋体"/>
                <w:color w:val="000000"/>
              </w:rPr>
              <w:t>个</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E010211">
            <w:pPr>
              <w:pStyle w:val="241"/>
              <w:jc w:val="center"/>
              <w:rPr>
                <w:rFonts w:hint="eastAsia" w:ascii="宋体" w:hAnsi="宋体" w:eastAsia="宋体" w:cs="宋体"/>
                <w:color w:val="000000"/>
              </w:rPr>
            </w:pPr>
            <w:r>
              <w:rPr>
                <w:rFonts w:hint="eastAsia" w:ascii="宋体" w:hAnsi="宋体" w:eastAsia="宋体" w:cs="宋体"/>
                <w:color w:val="000000"/>
              </w:rPr>
              <w:t>91</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83F0015">
            <w:pPr>
              <w:pStyle w:val="241"/>
              <w:jc w:val="center"/>
              <w:rPr>
                <w:rFonts w:ascii="宋体" w:hAnsi="宋体" w:eastAsia="宋体" w:cs="宋体"/>
                <w:color w:val="000000"/>
              </w:rPr>
            </w:pPr>
            <w:r>
              <w:rPr>
                <w:rFonts w:ascii="宋体" w:hAnsi="宋体" w:eastAsia="宋体" w:cs="宋体"/>
                <w:color w:val="000000"/>
              </w:rPr>
              <w:t>信息传输业（包括电信、互联网和相关服务）</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C2144D6">
            <w:pPr>
              <w:pStyle w:val="241"/>
              <w:jc w:val="center"/>
              <w:rPr>
                <w:rFonts w:ascii="宋体" w:hAnsi="宋体" w:eastAsia="宋体" w:cs="宋体"/>
                <w:color w:val="000000"/>
              </w:rPr>
            </w:pPr>
            <w:r>
              <w:rPr>
                <w:rFonts w:ascii="宋体" w:hAnsi="宋体" w:eastAsia="宋体" w:cs="宋体"/>
                <w:color w:val="000000"/>
              </w:rPr>
              <w:t>配件、辅料</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AA5727C">
            <w:pPr>
              <w:pStyle w:val="241"/>
              <w:jc w:val="center"/>
              <w:rPr>
                <w:rFonts w:ascii="宋体" w:hAnsi="宋体" w:eastAsia="宋体" w:cs="宋体"/>
                <w:color w:val="000000"/>
              </w:rPr>
            </w:pPr>
            <w:r>
              <w:rPr>
                <w:rFonts w:ascii="宋体" w:hAnsi="宋体" w:eastAsia="宋体" w:cs="宋体"/>
                <w:color w:val="000000"/>
              </w:rPr>
              <w:t>货物类</w:t>
            </w:r>
          </w:p>
        </w:tc>
      </w:tr>
      <w:tr w14:paraId="1E676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FA69E56">
            <w:pPr>
              <w:pStyle w:val="241"/>
              <w:jc w:val="center"/>
              <w:rPr>
                <w:rFonts w:ascii="宋体" w:hAnsi="宋体" w:eastAsia="宋体" w:cs="宋体"/>
                <w:color w:val="000000"/>
              </w:rPr>
            </w:pPr>
            <w:r>
              <w:rPr>
                <w:rFonts w:hint="eastAsia" w:ascii="宋体" w:hAnsi="宋体" w:eastAsia="宋体" w:cs="宋体"/>
                <w:color w:val="000000"/>
              </w:rPr>
              <w:t>5</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F088D24">
            <w:pPr>
              <w:pStyle w:val="241"/>
              <w:jc w:val="center"/>
              <w:rPr>
                <w:rFonts w:ascii="宋体" w:hAnsi="宋体" w:eastAsia="宋体" w:cs="宋体"/>
                <w:color w:val="000000"/>
              </w:rPr>
            </w:pPr>
            <w:r>
              <w:rPr>
                <w:rFonts w:hint="eastAsia" w:ascii="宋体" w:hAnsi="宋体" w:eastAsia="宋体" w:cs="宋体"/>
                <w:color w:val="000000"/>
              </w:rPr>
              <w:t>智能烟感</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F11087A">
            <w:pPr>
              <w:pStyle w:val="241"/>
              <w:jc w:val="center"/>
              <w:rPr>
                <w:rFonts w:ascii="宋体" w:hAnsi="宋体" w:eastAsia="宋体" w:cs="宋体"/>
                <w:color w:val="000000"/>
              </w:rPr>
            </w:pPr>
            <w:r>
              <w:rPr>
                <w:rFonts w:hint="eastAsia" w:ascii="宋体" w:hAnsi="宋体" w:eastAsia="宋体" w:cs="宋体"/>
                <w:color w:val="000000"/>
              </w:rPr>
              <w:t>个</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43CEDBD">
            <w:pPr>
              <w:pStyle w:val="241"/>
              <w:jc w:val="center"/>
              <w:rPr>
                <w:rFonts w:hint="default" w:ascii="宋体" w:hAnsi="宋体" w:eastAsia="宋体" w:cs="宋体"/>
                <w:color w:val="000000"/>
                <w:lang w:val="en-US" w:eastAsia="zh-CN"/>
              </w:rPr>
            </w:pPr>
            <w:r>
              <w:rPr>
                <w:rFonts w:hint="eastAsia" w:ascii="宋体" w:hAnsi="宋体" w:eastAsia="宋体" w:cs="宋体"/>
                <w:color w:val="000000"/>
                <w:lang w:val="en-US" w:eastAsia="zh-CN"/>
              </w:rPr>
              <w:t>96</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5C76062">
            <w:pPr>
              <w:pStyle w:val="241"/>
              <w:jc w:val="center"/>
              <w:rPr>
                <w:rFonts w:ascii="宋体" w:hAnsi="宋体" w:eastAsia="宋体" w:cs="宋体"/>
                <w:color w:val="000000"/>
              </w:rPr>
            </w:pPr>
            <w:r>
              <w:rPr>
                <w:rFonts w:ascii="宋体" w:hAnsi="宋体" w:eastAsia="宋体" w:cs="宋体"/>
                <w:color w:val="000000"/>
              </w:rPr>
              <w:t>工业（包括采矿业，制造业，电力、热力、燃气及水生产和供应业）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CE96AFC">
            <w:pPr>
              <w:pStyle w:val="241"/>
              <w:jc w:val="center"/>
              <w:rPr>
                <w:rFonts w:ascii="宋体" w:hAnsi="宋体" w:eastAsia="宋体" w:cs="宋体"/>
                <w:color w:val="000000"/>
              </w:rPr>
            </w:pPr>
            <w:r>
              <w:rPr>
                <w:rFonts w:ascii="宋体" w:hAnsi="宋体" w:eastAsia="宋体" w:cs="宋体"/>
                <w:color w:val="000000"/>
              </w:rPr>
              <w:t>配件、辅料</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B4D56C1">
            <w:pPr>
              <w:pStyle w:val="241"/>
              <w:jc w:val="center"/>
              <w:rPr>
                <w:rFonts w:ascii="宋体" w:hAnsi="宋体" w:eastAsia="宋体" w:cs="宋体"/>
                <w:color w:val="000000"/>
              </w:rPr>
            </w:pPr>
            <w:r>
              <w:rPr>
                <w:rFonts w:ascii="宋体" w:hAnsi="宋体" w:eastAsia="宋体" w:cs="宋体"/>
                <w:color w:val="000000"/>
              </w:rPr>
              <w:t>货物类</w:t>
            </w:r>
          </w:p>
        </w:tc>
      </w:tr>
      <w:tr w14:paraId="5F081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DD57C27">
            <w:pPr>
              <w:pStyle w:val="241"/>
              <w:jc w:val="center"/>
              <w:rPr>
                <w:rFonts w:ascii="宋体" w:hAnsi="宋体" w:eastAsia="宋体" w:cs="宋体"/>
                <w:color w:val="000000"/>
              </w:rPr>
            </w:pPr>
            <w:r>
              <w:rPr>
                <w:rFonts w:hint="eastAsia" w:ascii="宋体" w:hAnsi="宋体" w:eastAsia="宋体" w:cs="宋体"/>
                <w:color w:val="000000"/>
              </w:rPr>
              <w:t>6</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CD902C6">
            <w:pPr>
              <w:pStyle w:val="241"/>
              <w:jc w:val="center"/>
              <w:rPr>
                <w:rFonts w:ascii="宋体" w:hAnsi="宋体" w:eastAsia="宋体" w:cs="宋体"/>
                <w:color w:val="000000"/>
              </w:rPr>
            </w:pPr>
            <w:r>
              <w:rPr>
                <w:rFonts w:hint="eastAsia" w:ascii="宋体" w:hAnsi="宋体" w:eastAsia="宋体" w:cs="宋体"/>
                <w:color w:val="000000"/>
              </w:rPr>
              <w:t>视频监控平台及配套程序</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4EFB2A3">
            <w:pPr>
              <w:pStyle w:val="241"/>
              <w:jc w:val="center"/>
              <w:rPr>
                <w:rFonts w:ascii="宋体" w:hAnsi="宋体" w:eastAsia="宋体" w:cs="宋体"/>
                <w:color w:val="000000"/>
              </w:rPr>
            </w:pPr>
            <w:r>
              <w:rPr>
                <w:rFonts w:hint="eastAsia" w:ascii="宋体" w:hAnsi="宋体" w:eastAsia="宋体" w:cs="宋体"/>
                <w:color w:val="000000"/>
              </w:rPr>
              <w:t>套</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89DF804">
            <w:pPr>
              <w:pStyle w:val="241"/>
              <w:jc w:val="center"/>
              <w:rPr>
                <w:rFonts w:ascii="宋体" w:hAnsi="宋体" w:eastAsia="宋体" w:cs="宋体"/>
                <w:color w:val="000000"/>
              </w:rPr>
            </w:pPr>
            <w:r>
              <w:rPr>
                <w:rFonts w:hint="eastAsia" w:ascii="宋体" w:hAnsi="宋体" w:eastAsia="宋体" w:cs="宋体"/>
                <w:color w:val="000000"/>
              </w:rPr>
              <w:t>1</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E1C8ED2">
            <w:pPr>
              <w:pStyle w:val="14"/>
              <w:rPr>
                <w:rFonts w:ascii="宋体" w:hAnsi="宋体" w:cs="宋体"/>
                <w:color w:val="000000"/>
                <w:sz w:val="24"/>
              </w:rPr>
            </w:pPr>
            <w:r>
              <w:rPr>
                <w:sz w:val="24"/>
                <w:lang w:bidi="ar"/>
              </w:rPr>
              <w:t>软件和信息技术服务业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1F21642">
            <w:pPr>
              <w:pStyle w:val="241"/>
              <w:jc w:val="center"/>
              <w:rPr>
                <w:rFonts w:ascii="宋体" w:hAnsi="宋体" w:eastAsia="宋体" w:cs="宋体"/>
                <w:color w:val="000000"/>
              </w:rPr>
            </w:pPr>
            <w:r>
              <w:rPr>
                <w:rFonts w:ascii="宋体" w:hAnsi="宋体" w:eastAsia="宋体" w:cs="宋体"/>
                <w:color w:val="000000"/>
              </w:rPr>
              <w:t>配件、辅料</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1AD49B5">
            <w:pPr>
              <w:pStyle w:val="241"/>
              <w:jc w:val="center"/>
              <w:rPr>
                <w:rFonts w:ascii="宋体" w:hAnsi="宋体" w:eastAsia="宋体" w:cs="宋体"/>
                <w:color w:val="000000"/>
              </w:rPr>
            </w:pPr>
            <w:r>
              <w:rPr>
                <w:rFonts w:hint="eastAsia" w:ascii="宋体" w:hAnsi="宋体" w:eastAsia="宋体" w:cs="宋体"/>
                <w:color w:val="000000"/>
              </w:rPr>
              <w:t>服务</w:t>
            </w:r>
            <w:r>
              <w:rPr>
                <w:rFonts w:ascii="宋体" w:hAnsi="宋体" w:eastAsia="宋体" w:cs="宋体"/>
                <w:color w:val="000000"/>
              </w:rPr>
              <w:t>类</w:t>
            </w:r>
          </w:p>
        </w:tc>
      </w:tr>
      <w:tr w14:paraId="17EB4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EAC8744">
            <w:pPr>
              <w:pStyle w:val="241"/>
              <w:jc w:val="center"/>
              <w:rPr>
                <w:rFonts w:ascii="宋体" w:hAnsi="宋体" w:eastAsia="宋体" w:cs="宋体"/>
                <w:color w:val="000000"/>
              </w:rPr>
            </w:pPr>
            <w:r>
              <w:rPr>
                <w:rFonts w:hint="eastAsia" w:ascii="宋体" w:hAnsi="宋体" w:eastAsia="宋体" w:cs="宋体"/>
                <w:color w:val="000000"/>
              </w:rPr>
              <w:t>7</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74BBA37">
            <w:pPr>
              <w:pStyle w:val="241"/>
              <w:jc w:val="center"/>
              <w:rPr>
                <w:rFonts w:ascii="宋体" w:hAnsi="宋体" w:eastAsia="宋体" w:cs="宋体"/>
                <w:color w:val="000000"/>
              </w:rPr>
            </w:pPr>
            <w:r>
              <w:rPr>
                <w:rFonts w:hint="eastAsia" w:ascii="宋体" w:hAnsi="宋体" w:eastAsia="宋体" w:cs="宋体"/>
                <w:color w:val="000000"/>
              </w:rPr>
              <w:t>单摄像机30*24小时录像存储租用费</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5C4659B">
            <w:pPr>
              <w:pStyle w:val="241"/>
              <w:jc w:val="center"/>
              <w:rPr>
                <w:rFonts w:ascii="宋体" w:hAnsi="宋体" w:eastAsia="宋体" w:cs="宋体"/>
                <w:color w:val="000000"/>
              </w:rPr>
            </w:pPr>
            <w:r>
              <w:rPr>
                <w:rFonts w:hint="eastAsia" w:ascii="宋体" w:hAnsi="宋体" w:eastAsia="宋体" w:cs="宋体"/>
                <w:color w:val="000000"/>
              </w:rPr>
              <w:t>项</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AABB2FA">
            <w:pPr>
              <w:pStyle w:val="241"/>
              <w:jc w:val="center"/>
              <w:rPr>
                <w:rFonts w:ascii="宋体" w:hAnsi="宋体" w:eastAsia="宋体" w:cs="宋体"/>
                <w:color w:val="000000"/>
              </w:rPr>
            </w:pPr>
            <w:r>
              <w:rPr>
                <w:rFonts w:hint="eastAsia" w:ascii="宋体" w:hAnsi="宋体" w:eastAsia="宋体" w:cs="宋体"/>
                <w:color w:val="000000"/>
              </w:rPr>
              <w:t>91</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0DDC12D">
            <w:pPr>
              <w:pStyle w:val="241"/>
              <w:jc w:val="center"/>
              <w:rPr>
                <w:rFonts w:ascii="宋体" w:hAnsi="宋体" w:eastAsia="宋体" w:cs="宋体"/>
                <w:color w:val="000000"/>
              </w:rPr>
            </w:pPr>
            <w:r>
              <w:rPr>
                <w:rFonts w:ascii="宋体" w:hAnsi="宋体" w:eastAsia="宋体" w:cs="宋体"/>
                <w:color w:val="000000"/>
              </w:rPr>
              <w:t>信息传输业（包括电信、互联网和相关服务）</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32E49AD">
            <w:pPr>
              <w:pStyle w:val="241"/>
              <w:jc w:val="center"/>
              <w:rPr>
                <w:rFonts w:ascii="宋体" w:hAnsi="宋体" w:eastAsia="宋体" w:cs="宋体"/>
                <w:color w:val="000000"/>
              </w:rPr>
            </w:pPr>
            <w:r>
              <w:rPr>
                <w:rFonts w:ascii="宋体" w:hAnsi="宋体" w:eastAsia="宋体" w:cs="宋体"/>
                <w:color w:val="000000"/>
              </w:rPr>
              <w:t>配件、辅料</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FC78091">
            <w:pPr>
              <w:pStyle w:val="241"/>
              <w:jc w:val="center"/>
              <w:rPr>
                <w:rFonts w:ascii="宋体" w:hAnsi="宋体" w:eastAsia="宋体" w:cs="宋体"/>
                <w:color w:val="000000"/>
              </w:rPr>
            </w:pPr>
            <w:r>
              <w:rPr>
                <w:rFonts w:hint="eastAsia" w:ascii="宋体" w:hAnsi="宋体" w:eastAsia="宋体" w:cs="宋体"/>
                <w:color w:val="000000"/>
              </w:rPr>
              <w:t>服务</w:t>
            </w:r>
            <w:r>
              <w:rPr>
                <w:rFonts w:ascii="宋体" w:hAnsi="宋体" w:eastAsia="宋体" w:cs="宋体"/>
                <w:color w:val="000000"/>
              </w:rPr>
              <w:t>类</w:t>
            </w:r>
          </w:p>
        </w:tc>
      </w:tr>
      <w:tr w14:paraId="5DBA7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6948E6D">
            <w:pPr>
              <w:pStyle w:val="241"/>
              <w:jc w:val="center"/>
              <w:rPr>
                <w:rFonts w:ascii="宋体" w:hAnsi="宋体" w:eastAsia="宋体" w:cs="宋体"/>
                <w:color w:val="000000"/>
              </w:rPr>
            </w:pPr>
            <w:r>
              <w:rPr>
                <w:rFonts w:hint="eastAsia" w:ascii="宋体" w:hAnsi="宋体" w:eastAsia="宋体" w:cs="宋体"/>
                <w:color w:val="000000"/>
              </w:rPr>
              <w:t>8</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6C569A3">
            <w:pPr>
              <w:pStyle w:val="241"/>
              <w:jc w:val="center"/>
              <w:rPr>
                <w:rFonts w:ascii="宋体" w:hAnsi="宋体" w:eastAsia="宋体" w:cs="宋体"/>
                <w:color w:val="000000"/>
              </w:rPr>
            </w:pPr>
            <w:r>
              <w:rPr>
                <w:rFonts w:hint="eastAsia" w:ascii="宋体" w:hAnsi="宋体" w:eastAsia="宋体" w:cs="宋体"/>
                <w:color w:val="000000"/>
              </w:rPr>
              <w:t>传输网络</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ED762AD">
            <w:pPr>
              <w:pStyle w:val="241"/>
              <w:jc w:val="center"/>
              <w:rPr>
                <w:rFonts w:ascii="宋体" w:hAnsi="宋体" w:eastAsia="宋体" w:cs="宋体"/>
                <w:color w:val="000000"/>
              </w:rPr>
            </w:pPr>
            <w:r>
              <w:rPr>
                <w:rFonts w:hint="eastAsia" w:ascii="宋体" w:hAnsi="宋体" w:eastAsia="宋体" w:cs="宋体"/>
                <w:color w:val="000000"/>
              </w:rPr>
              <w:t>条</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DD37696">
            <w:pPr>
              <w:pStyle w:val="241"/>
              <w:jc w:val="center"/>
              <w:rPr>
                <w:rFonts w:ascii="宋体" w:hAnsi="宋体" w:eastAsia="宋体" w:cs="宋体"/>
                <w:color w:val="000000"/>
              </w:rPr>
            </w:pPr>
            <w:r>
              <w:rPr>
                <w:rFonts w:hint="eastAsia" w:ascii="宋体" w:hAnsi="宋体" w:eastAsia="宋体" w:cs="宋体"/>
                <w:color w:val="000000"/>
              </w:rPr>
              <w:t>91</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6C6ECF8">
            <w:pPr>
              <w:pStyle w:val="241"/>
              <w:jc w:val="center"/>
              <w:rPr>
                <w:rFonts w:ascii="宋体" w:hAnsi="宋体" w:eastAsia="宋体" w:cs="宋体"/>
                <w:color w:val="000000"/>
              </w:rPr>
            </w:pPr>
            <w:r>
              <w:rPr>
                <w:rFonts w:ascii="宋体" w:hAnsi="宋体" w:eastAsia="宋体" w:cs="宋体"/>
                <w:color w:val="000000"/>
              </w:rPr>
              <w:t>信息传输业（包括电信、互联网和相关服务）</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DD70ED4">
            <w:pPr>
              <w:pStyle w:val="241"/>
              <w:jc w:val="center"/>
              <w:rPr>
                <w:rFonts w:ascii="宋体" w:hAnsi="宋体" w:eastAsia="宋体" w:cs="宋体"/>
                <w:color w:val="000000"/>
              </w:rPr>
            </w:pPr>
            <w:r>
              <w:rPr>
                <w:rFonts w:ascii="宋体" w:hAnsi="宋体" w:eastAsia="宋体" w:cs="宋体"/>
                <w:color w:val="000000"/>
              </w:rPr>
              <w:t>配件、辅料</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C8A594C">
            <w:pPr>
              <w:pStyle w:val="241"/>
              <w:jc w:val="center"/>
              <w:rPr>
                <w:rFonts w:ascii="宋体" w:hAnsi="宋体" w:eastAsia="宋体" w:cs="宋体"/>
                <w:color w:val="000000"/>
              </w:rPr>
            </w:pPr>
            <w:r>
              <w:rPr>
                <w:rFonts w:hint="eastAsia" w:ascii="宋体" w:hAnsi="宋体" w:eastAsia="宋体" w:cs="宋体"/>
                <w:color w:val="000000"/>
              </w:rPr>
              <w:t>服务</w:t>
            </w:r>
            <w:r>
              <w:rPr>
                <w:rFonts w:ascii="宋体" w:hAnsi="宋体" w:eastAsia="宋体" w:cs="宋体"/>
                <w:color w:val="000000"/>
              </w:rPr>
              <w:t>类</w:t>
            </w:r>
          </w:p>
        </w:tc>
      </w:tr>
      <w:tr w14:paraId="3394F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F972374">
            <w:pPr>
              <w:pStyle w:val="241"/>
              <w:jc w:val="center"/>
              <w:rPr>
                <w:rFonts w:ascii="宋体" w:hAnsi="宋体" w:eastAsia="宋体" w:cs="宋体"/>
                <w:color w:val="000000"/>
              </w:rPr>
            </w:pPr>
            <w:r>
              <w:rPr>
                <w:rFonts w:hint="eastAsia" w:ascii="宋体" w:hAnsi="宋体" w:eastAsia="宋体" w:cs="宋体"/>
                <w:color w:val="000000"/>
              </w:rPr>
              <w:t>9</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B595ECD">
            <w:pPr>
              <w:pStyle w:val="241"/>
              <w:jc w:val="center"/>
              <w:rPr>
                <w:rFonts w:ascii="宋体" w:hAnsi="宋体" w:eastAsia="宋体" w:cs="宋体"/>
                <w:color w:val="000000"/>
              </w:rPr>
            </w:pPr>
            <w:r>
              <w:rPr>
                <w:rFonts w:hint="eastAsia" w:ascii="宋体" w:hAnsi="宋体" w:eastAsia="宋体" w:cs="宋体"/>
                <w:color w:val="000000"/>
              </w:rPr>
              <w:t>锂电池专用灭火器6L</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EFAF4F7">
            <w:pPr>
              <w:pStyle w:val="241"/>
              <w:jc w:val="center"/>
              <w:rPr>
                <w:rFonts w:ascii="宋体" w:hAnsi="宋体" w:eastAsia="宋体" w:cs="宋体"/>
                <w:color w:val="000000"/>
              </w:rPr>
            </w:pPr>
            <w:r>
              <w:rPr>
                <w:rFonts w:hint="eastAsia" w:ascii="宋体" w:hAnsi="宋体" w:eastAsia="宋体" w:cs="宋体"/>
                <w:color w:val="000000"/>
              </w:rPr>
              <w:t>套</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90541FD">
            <w:pPr>
              <w:pStyle w:val="241"/>
              <w:jc w:val="center"/>
              <w:rPr>
                <w:rFonts w:hint="eastAsia" w:ascii="宋体" w:hAnsi="宋体" w:eastAsia="宋体" w:cs="宋体"/>
                <w:color w:val="000000"/>
              </w:rPr>
            </w:pPr>
            <w:r>
              <w:rPr>
                <w:rFonts w:hint="eastAsia" w:ascii="宋体" w:hAnsi="宋体" w:eastAsia="宋体" w:cs="宋体"/>
                <w:color w:val="000000"/>
              </w:rPr>
              <w:t>524</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3927CD6">
            <w:pPr>
              <w:pStyle w:val="241"/>
              <w:jc w:val="center"/>
              <w:rPr>
                <w:rFonts w:ascii="宋体" w:hAnsi="宋体" w:eastAsia="宋体" w:cs="宋体"/>
                <w:color w:val="000000"/>
              </w:rPr>
            </w:pPr>
            <w:r>
              <w:rPr>
                <w:rFonts w:ascii="宋体" w:hAnsi="宋体" w:eastAsia="宋体" w:cs="宋体"/>
                <w:color w:val="000000"/>
              </w:rPr>
              <w:t>工业（包括采矿业，制造业，电力、热力、燃气及水生产和供应业）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1F60892">
            <w:pPr>
              <w:pStyle w:val="241"/>
              <w:jc w:val="center"/>
              <w:rPr>
                <w:rFonts w:ascii="宋体" w:hAnsi="宋体" w:eastAsia="宋体" w:cs="宋体"/>
                <w:color w:val="000000"/>
              </w:rPr>
            </w:pPr>
            <w:r>
              <w:rPr>
                <w:rFonts w:ascii="宋体" w:hAnsi="宋体" w:eastAsia="宋体" w:cs="宋体"/>
                <w:color w:val="000000"/>
              </w:rPr>
              <w:t>主要采购标的</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C2FF2F0">
            <w:pPr>
              <w:pStyle w:val="241"/>
              <w:jc w:val="center"/>
              <w:rPr>
                <w:rFonts w:ascii="宋体" w:hAnsi="宋体" w:eastAsia="宋体" w:cs="宋体"/>
                <w:color w:val="000000"/>
              </w:rPr>
            </w:pPr>
            <w:r>
              <w:rPr>
                <w:rFonts w:ascii="宋体" w:hAnsi="宋体" w:eastAsia="宋体" w:cs="宋体"/>
                <w:color w:val="000000"/>
              </w:rPr>
              <w:t>货物类</w:t>
            </w:r>
          </w:p>
        </w:tc>
      </w:tr>
      <w:tr w14:paraId="58A35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2B84214">
            <w:pPr>
              <w:pStyle w:val="241"/>
              <w:jc w:val="center"/>
              <w:rPr>
                <w:rFonts w:ascii="宋体" w:hAnsi="宋体" w:eastAsia="宋体" w:cs="宋体"/>
                <w:color w:val="000000"/>
              </w:rPr>
            </w:pPr>
            <w:r>
              <w:rPr>
                <w:rFonts w:hint="eastAsia" w:ascii="宋体" w:hAnsi="宋体" w:eastAsia="宋体" w:cs="宋体"/>
                <w:color w:val="000000"/>
              </w:rPr>
              <w:t>10</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C8765EB">
            <w:pPr>
              <w:pStyle w:val="241"/>
              <w:jc w:val="center"/>
              <w:rPr>
                <w:rFonts w:ascii="宋体" w:hAnsi="宋体" w:eastAsia="宋体" w:cs="宋体"/>
                <w:color w:val="000000"/>
              </w:rPr>
            </w:pPr>
            <w:r>
              <w:rPr>
                <w:rFonts w:hint="eastAsia" w:ascii="宋体" w:hAnsi="宋体" w:eastAsia="宋体" w:cs="宋体"/>
                <w:color w:val="000000"/>
              </w:rPr>
              <w:t>消防长钩</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B429EAA">
            <w:pPr>
              <w:pStyle w:val="241"/>
              <w:jc w:val="center"/>
              <w:rPr>
                <w:rFonts w:ascii="宋体" w:hAnsi="宋体" w:eastAsia="宋体" w:cs="宋体"/>
                <w:color w:val="000000"/>
              </w:rPr>
            </w:pPr>
            <w:r>
              <w:rPr>
                <w:rFonts w:hint="eastAsia" w:ascii="宋体" w:hAnsi="宋体" w:eastAsia="宋体" w:cs="宋体"/>
                <w:color w:val="000000"/>
              </w:rPr>
              <w:t>个</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EBAE7CC">
            <w:pPr>
              <w:pStyle w:val="241"/>
              <w:jc w:val="center"/>
              <w:rPr>
                <w:rFonts w:hint="eastAsia" w:ascii="宋体" w:hAnsi="宋体" w:eastAsia="宋体" w:cs="宋体"/>
                <w:color w:val="000000"/>
              </w:rPr>
            </w:pPr>
            <w:r>
              <w:rPr>
                <w:rFonts w:hint="eastAsia" w:ascii="宋体" w:hAnsi="宋体" w:eastAsia="宋体" w:cs="宋体"/>
                <w:color w:val="000000"/>
              </w:rPr>
              <w:t>188</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390EE14">
            <w:pPr>
              <w:pStyle w:val="241"/>
              <w:jc w:val="center"/>
              <w:rPr>
                <w:rFonts w:ascii="宋体" w:hAnsi="宋体" w:eastAsia="宋体" w:cs="宋体"/>
                <w:color w:val="000000"/>
              </w:rPr>
            </w:pPr>
            <w:r>
              <w:rPr>
                <w:rFonts w:ascii="宋体" w:hAnsi="宋体" w:eastAsia="宋体" w:cs="宋体"/>
                <w:color w:val="000000"/>
              </w:rPr>
              <w:t>工业（包括采矿业，制造业，电力、热力、燃气及水生产和供应业）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6D4DF86">
            <w:pPr>
              <w:pStyle w:val="241"/>
              <w:jc w:val="center"/>
              <w:rPr>
                <w:rFonts w:ascii="宋体" w:hAnsi="宋体" w:eastAsia="宋体" w:cs="宋体"/>
                <w:color w:val="000000"/>
              </w:rPr>
            </w:pPr>
            <w:r>
              <w:rPr>
                <w:rFonts w:ascii="宋体" w:hAnsi="宋体" w:eastAsia="宋体" w:cs="宋体"/>
                <w:color w:val="000000"/>
              </w:rPr>
              <w:t>主要采购标的</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009EF73">
            <w:pPr>
              <w:pStyle w:val="241"/>
              <w:jc w:val="center"/>
              <w:rPr>
                <w:rFonts w:ascii="宋体" w:hAnsi="宋体" w:eastAsia="宋体" w:cs="宋体"/>
                <w:color w:val="000000"/>
              </w:rPr>
            </w:pPr>
            <w:r>
              <w:rPr>
                <w:rFonts w:ascii="宋体" w:hAnsi="宋体" w:eastAsia="宋体" w:cs="宋体"/>
                <w:color w:val="000000"/>
              </w:rPr>
              <w:t>货物类</w:t>
            </w:r>
          </w:p>
        </w:tc>
      </w:tr>
      <w:tr w14:paraId="71DB2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15E8A1A">
            <w:pPr>
              <w:pStyle w:val="241"/>
              <w:jc w:val="center"/>
              <w:rPr>
                <w:rFonts w:ascii="宋体" w:hAnsi="宋体" w:eastAsia="宋体" w:cs="宋体"/>
                <w:color w:val="000000"/>
              </w:rPr>
            </w:pPr>
            <w:r>
              <w:rPr>
                <w:rFonts w:hint="eastAsia" w:ascii="宋体" w:hAnsi="宋体" w:eastAsia="宋体" w:cs="宋体"/>
                <w:color w:val="000000"/>
              </w:rPr>
              <w:t>11</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F62EA81">
            <w:pPr>
              <w:pStyle w:val="241"/>
              <w:jc w:val="center"/>
              <w:rPr>
                <w:rFonts w:ascii="宋体" w:hAnsi="宋体" w:eastAsia="宋体" w:cs="宋体"/>
                <w:color w:val="000000"/>
              </w:rPr>
            </w:pPr>
            <w:r>
              <w:rPr>
                <w:rFonts w:hint="eastAsia" w:ascii="宋体" w:hAnsi="宋体" w:eastAsia="宋体" w:cs="宋体"/>
                <w:color w:val="000000"/>
              </w:rPr>
              <w:t>点位辅材</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50C74D6">
            <w:pPr>
              <w:pStyle w:val="241"/>
              <w:jc w:val="center"/>
              <w:rPr>
                <w:rFonts w:ascii="宋体" w:hAnsi="宋体" w:eastAsia="宋体" w:cs="宋体"/>
                <w:color w:val="000000"/>
              </w:rPr>
            </w:pPr>
            <w:r>
              <w:rPr>
                <w:rFonts w:hint="eastAsia" w:ascii="宋体" w:hAnsi="宋体" w:eastAsia="宋体" w:cs="宋体"/>
                <w:color w:val="000000"/>
              </w:rPr>
              <w:t>套</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763B6A0">
            <w:pPr>
              <w:pStyle w:val="241"/>
              <w:jc w:val="center"/>
              <w:rPr>
                <w:rFonts w:ascii="宋体" w:hAnsi="宋体" w:eastAsia="宋体" w:cs="宋体"/>
                <w:color w:val="000000"/>
              </w:rPr>
            </w:pPr>
            <w:r>
              <w:rPr>
                <w:rFonts w:hint="eastAsia" w:ascii="宋体" w:hAnsi="宋体" w:eastAsia="宋体" w:cs="宋体"/>
                <w:color w:val="000000"/>
              </w:rPr>
              <w:t>91</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748F211">
            <w:pPr>
              <w:pStyle w:val="241"/>
              <w:jc w:val="center"/>
              <w:rPr>
                <w:rFonts w:ascii="宋体" w:hAnsi="宋体" w:eastAsia="宋体" w:cs="宋体"/>
                <w:color w:val="000000"/>
              </w:rPr>
            </w:pPr>
            <w:r>
              <w:rPr>
                <w:rFonts w:ascii="宋体" w:hAnsi="宋体" w:eastAsia="宋体" w:cs="宋体"/>
                <w:color w:val="000000"/>
              </w:rPr>
              <w:t>工业（包括采矿业，制造业，电力、热力、燃气及水生产和供应业）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BFDE73B">
            <w:pPr>
              <w:pStyle w:val="241"/>
              <w:jc w:val="center"/>
              <w:rPr>
                <w:rFonts w:ascii="宋体" w:hAnsi="宋体" w:eastAsia="宋体" w:cs="宋体"/>
                <w:color w:val="000000"/>
              </w:rPr>
            </w:pPr>
            <w:r>
              <w:rPr>
                <w:rFonts w:ascii="宋体" w:hAnsi="宋体" w:eastAsia="宋体" w:cs="宋体"/>
                <w:color w:val="000000"/>
              </w:rPr>
              <w:t>配件、辅料</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2DEA75E">
            <w:pPr>
              <w:pStyle w:val="241"/>
              <w:jc w:val="center"/>
              <w:rPr>
                <w:rFonts w:ascii="宋体" w:hAnsi="宋体" w:eastAsia="宋体" w:cs="宋体"/>
                <w:color w:val="000000"/>
              </w:rPr>
            </w:pPr>
            <w:r>
              <w:rPr>
                <w:rFonts w:ascii="宋体" w:hAnsi="宋体" w:eastAsia="宋体" w:cs="宋体"/>
                <w:color w:val="000000"/>
              </w:rPr>
              <w:t>货物类</w:t>
            </w:r>
          </w:p>
        </w:tc>
      </w:tr>
      <w:tr w14:paraId="5A6F8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CC207DB">
            <w:pPr>
              <w:pStyle w:val="241"/>
              <w:jc w:val="center"/>
              <w:rPr>
                <w:rFonts w:ascii="宋体" w:hAnsi="宋体" w:eastAsia="宋体" w:cs="宋体"/>
                <w:color w:val="000000"/>
              </w:rPr>
            </w:pPr>
            <w:r>
              <w:rPr>
                <w:rFonts w:hint="eastAsia" w:ascii="宋体" w:hAnsi="宋体" w:eastAsia="宋体" w:cs="宋体"/>
                <w:color w:val="000000"/>
              </w:rPr>
              <w:t>12</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F6EDD94">
            <w:pPr>
              <w:pStyle w:val="241"/>
              <w:jc w:val="center"/>
              <w:rPr>
                <w:rFonts w:ascii="宋体" w:hAnsi="宋体" w:eastAsia="宋体" w:cs="宋体"/>
                <w:color w:val="000000"/>
              </w:rPr>
            </w:pPr>
            <w:r>
              <w:rPr>
                <w:rFonts w:hint="eastAsia" w:ascii="宋体" w:hAnsi="宋体" w:eastAsia="宋体" w:cs="宋体"/>
                <w:color w:val="000000"/>
              </w:rPr>
              <w:t>推车式锂电池灭火器数量（25L/具）</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6D8FCDB">
            <w:pPr>
              <w:pStyle w:val="241"/>
              <w:jc w:val="center"/>
              <w:rPr>
                <w:rFonts w:ascii="宋体" w:hAnsi="宋体" w:eastAsia="宋体" w:cs="宋体"/>
                <w:color w:val="000000"/>
              </w:rPr>
            </w:pPr>
            <w:r>
              <w:rPr>
                <w:rFonts w:hint="eastAsia" w:ascii="宋体" w:hAnsi="宋体" w:eastAsia="宋体" w:cs="宋体"/>
                <w:color w:val="000000"/>
              </w:rPr>
              <w:t>套</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5B3C7ED">
            <w:pPr>
              <w:pStyle w:val="241"/>
              <w:jc w:val="center"/>
              <w:rPr>
                <w:rFonts w:ascii="宋体" w:hAnsi="宋体" w:eastAsia="宋体" w:cs="宋体"/>
                <w:color w:val="000000"/>
              </w:rPr>
            </w:pPr>
            <w:r>
              <w:rPr>
                <w:rFonts w:hint="eastAsia" w:ascii="宋体" w:hAnsi="宋体" w:eastAsia="宋体" w:cs="宋体"/>
                <w:color w:val="000000"/>
              </w:rPr>
              <w:t>366</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950B2B2">
            <w:pPr>
              <w:pStyle w:val="241"/>
              <w:jc w:val="center"/>
              <w:rPr>
                <w:rFonts w:ascii="宋体" w:hAnsi="宋体" w:eastAsia="宋体" w:cs="宋体"/>
                <w:color w:val="000000"/>
              </w:rPr>
            </w:pPr>
            <w:r>
              <w:rPr>
                <w:rFonts w:ascii="宋体" w:hAnsi="宋体" w:eastAsia="宋体" w:cs="宋体"/>
                <w:color w:val="000000"/>
              </w:rPr>
              <w:t>工业（包括采矿业，制造业，电力、热力、燃气及水生产和供应业）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3AD421A">
            <w:pPr>
              <w:pStyle w:val="241"/>
              <w:jc w:val="center"/>
              <w:rPr>
                <w:rFonts w:ascii="宋体" w:hAnsi="宋体" w:eastAsia="宋体" w:cs="宋体"/>
                <w:color w:val="000000"/>
              </w:rPr>
            </w:pPr>
            <w:r>
              <w:rPr>
                <w:rFonts w:ascii="宋体" w:hAnsi="宋体" w:eastAsia="宋体" w:cs="宋体"/>
                <w:color w:val="000000"/>
              </w:rPr>
              <w:t>主要采购标的</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1B5DD66">
            <w:pPr>
              <w:pStyle w:val="241"/>
              <w:jc w:val="center"/>
              <w:rPr>
                <w:rFonts w:ascii="宋体" w:hAnsi="宋体" w:eastAsia="宋体" w:cs="宋体"/>
                <w:color w:val="000000"/>
              </w:rPr>
            </w:pPr>
            <w:r>
              <w:rPr>
                <w:rFonts w:ascii="宋体" w:hAnsi="宋体" w:eastAsia="宋体" w:cs="宋体"/>
                <w:color w:val="000000"/>
              </w:rPr>
              <w:t>货物类</w:t>
            </w:r>
          </w:p>
        </w:tc>
      </w:tr>
      <w:tr w14:paraId="5BCF0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B4CCAEF">
            <w:pPr>
              <w:pStyle w:val="241"/>
              <w:jc w:val="center"/>
              <w:rPr>
                <w:rFonts w:ascii="宋体" w:hAnsi="宋体" w:eastAsia="宋体" w:cs="宋体"/>
                <w:color w:val="000000"/>
              </w:rPr>
            </w:pPr>
            <w:r>
              <w:rPr>
                <w:rFonts w:hint="eastAsia" w:ascii="宋体" w:hAnsi="宋体" w:eastAsia="宋体" w:cs="宋体"/>
                <w:color w:val="000000"/>
              </w:rPr>
              <w:t>13</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A5BBE52">
            <w:pPr>
              <w:pStyle w:val="241"/>
              <w:jc w:val="center"/>
              <w:rPr>
                <w:rFonts w:ascii="宋体" w:hAnsi="宋体" w:eastAsia="宋体" w:cs="宋体"/>
                <w:color w:val="000000"/>
              </w:rPr>
            </w:pPr>
            <w:r>
              <w:rPr>
                <w:rFonts w:hint="eastAsia" w:ascii="宋体" w:hAnsi="宋体" w:eastAsia="宋体" w:cs="宋体"/>
                <w:color w:val="000000"/>
              </w:rPr>
              <w:t>灭火毯</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C2855A7">
            <w:pPr>
              <w:pStyle w:val="241"/>
              <w:jc w:val="center"/>
              <w:rPr>
                <w:rFonts w:ascii="宋体" w:hAnsi="宋体" w:eastAsia="宋体" w:cs="宋体"/>
                <w:color w:val="000000"/>
              </w:rPr>
            </w:pPr>
            <w:r>
              <w:rPr>
                <w:rFonts w:hint="eastAsia" w:ascii="宋体" w:hAnsi="宋体" w:eastAsia="宋体" w:cs="宋体"/>
                <w:color w:val="000000"/>
              </w:rPr>
              <w:t>块</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B97A822">
            <w:pPr>
              <w:pStyle w:val="241"/>
              <w:jc w:val="center"/>
              <w:rPr>
                <w:rFonts w:hint="eastAsia" w:ascii="宋体" w:hAnsi="宋体" w:eastAsia="宋体" w:cs="宋体"/>
                <w:color w:val="000000"/>
              </w:rPr>
            </w:pPr>
            <w:r>
              <w:rPr>
                <w:rFonts w:hint="eastAsia" w:ascii="宋体" w:hAnsi="宋体" w:eastAsia="宋体" w:cs="宋体"/>
                <w:color w:val="000000"/>
              </w:rPr>
              <w:t>244</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5307E13">
            <w:pPr>
              <w:pStyle w:val="241"/>
              <w:jc w:val="center"/>
              <w:rPr>
                <w:rFonts w:ascii="宋体" w:hAnsi="宋体" w:eastAsia="宋体" w:cs="宋体"/>
                <w:color w:val="000000"/>
              </w:rPr>
            </w:pPr>
            <w:r>
              <w:rPr>
                <w:rFonts w:ascii="宋体" w:hAnsi="宋体" w:eastAsia="宋体" w:cs="宋体"/>
                <w:color w:val="000000"/>
              </w:rPr>
              <w:t>工业（包括采矿业，制造业，电力、热力、燃气及水生产和供应业）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12D306A">
            <w:pPr>
              <w:pStyle w:val="241"/>
              <w:jc w:val="center"/>
              <w:rPr>
                <w:rFonts w:ascii="宋体" w:hAnsi="宋体" w:eastAsia="宋体" w:cs="宋体"/>
                <w:color w:val="000000"/>
              </w:rPr>
            </w:pPr>
            <w:r>
              <w:rPr>
                <w:rFonts w:ascii="宋体" w:hAnsi="宋体" w:eastAsia="宋体" w:cs="宋体"/>
                <w:color w:val="000000"/>
              </w:rPr>
              <w:t>主要采购标的</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121146E">
            <w:pPr>
              <w:pStyle w:val="241"/>
              <w:jc w:val="center"/>
              <w:rPr>
                <w:rFonts w:ascii="宋体" w:hAnsi="宋体" w:eastAsia="宋体" w:cs="宋体"/>
                <w:color w:val="000000"/>
              </w:rPr>
            </w:pPr>
            <w:r>
              <w:rPr>
                <w:rFonts w:ascii="宋体" w:hAnsi="宋体" w:eastAsia="宋体" w:cs="宋体"/>
                <w:color w:val="000000"/>
              </w:rPr>
              <w:t>货物类</w:t>
            </w:r>
          </w:p>
        </w:tc>
      </w:tr>
      <w:tr w14:paraId="6DB2F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AEAD4C9">
            <w:pPr>
              <w:pStyle w:val="241"/>
              <w:jc w:val="center"/>
              <w:rPr>
                <w:rFonts w:ascii="宋体" w:hAnsi="宋体" w:eastAsia="宋体" w:cs="宋体"/>
                <w:color w:val="000000"/>
              </w:rPr>
            </w:pPr>
            <w:r>
              <w:rPr>
                <w:rFonts w:hint="eastAsia" w:ascii="宋体" w:hAnsi="宋体" w:eastAsia="宋体" w:cs="宋体"/>
                <w:color w:val="000000"/>
              </w:rPr>
              <w:t>14</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9737E42">
            <w:pPr>
              <w:pStyle w:val="241"/>
              <w:jc w:val="center"/>
              <w:rPr>
                <w:rFonts w:ascii="宋体" w:hAnsi="宋体" w:eastAsia="宋体" w:cs="宋体"/>
                <w:color w:val="000000"/>
              </w:rPr>
            </w:pPr>
            <w:r>
              <w:rPr>
                <w:rFonts w:hint="eastAsia" w:ascii="宋体" w:hAnsi="宋体" w:eastAsia="宋体" w:cs="宋体"/>
                <w:color w:val="000000"/>
              </w:rPr>
              <w:t>消防器材柜</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916CFFB">
            <w:pPr>
              <w:pStyle w:val="241"/>
              <w:jc w:val="center"/>
              <w:rPr>
                <w:rFonts w:ascii="宋体" w:hAnsi="宋体" w:eastAsia="宋体" w:cs="宋体"/>
                <w:color w:val="000000"/>
              </w:rPr>
            </w:pPr>
            <w:r>
              <w:rPr>
                <w:rFonts w:hint="eastAsia" w:ascii="宋体" w:hAnsi="宋体" w:eastAsia="宋体" w:cs="宋体"/>
                <w:color w:val="000000"/>
              </w:rPr>
              <w:t>个</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F52F9F8">
            <w:pPr>
              <w:pStyle w:val="241"/>
              <w:jc w:val="center"/>
              <w:rPr>
                <w:rFonts w:ascii="宋体" w:hAnsi="宋体" w:eastAsia="宋体" w:cs="宋体"/>
                <w:color w:val="000000"/>
              </w:rPr>
            </w:pPr>
            <w:r>
              <w:rPr>
                <w:rFonts w:hint="eastAsia" w:ascii="宋体" w:hAnsi="宋体" w:eastAsia="宋体" w:cs="宋体"/>
                <w:color w:val="000000"/>
              </w:rPr>
              <w:t>244</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50CDDFC">
            <w:pPr>
              <w:pStyle w:val="241"/>
              <w:jc w:val="center"/>
              <w:rPr>
                <w:rFonts w:ascii="宋体" w:hAnsi="宋体" w:eastAsia="宋体" w:cs="宋体"/>
                <w:color w:val="000000"/>
              </w:rPr>
            </w:pPr>
            <w:r>
              <w:rPr>
                <w:rFonts w:ascii="宋体" w:hAnsi="宋体" w:eastAsia="宋体" w:cs="宋体"/>
                <w:color w:val="000000"/>
              </w:rPr>
              <w:t>工业（包括采矿业，制造业，电力、热力、燃气及水生产和供应业）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7782F7B">
            <w:pPr>
              <w:pStyle w:val="241"/>
              <w:jc w:val="center"/>
              <w:rPr>
                <w:rFonts w:ascii="宋体" w:hAnsi="宋体" w:eastAsia="宋体" w:cs="宋体"/>
                <w:color w:val="000000"/>
              </w:rPr>
            </w:pPr>
            <w:r>
              <w:rPr>
                <w:rFonts w:ascii="宋体" w:hAnsi="宋体" w:eastAsia="宋体" w:cs="宋体"/>
                <w:color w:val="000000"/>
              </w:rPr>
              <w:t>配件、辅料</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38A25B5">
            <w:pPr>
              <w:pStyle w:val="241"/>
              <w:jc w:val="center"/>
              <w:rPr>
                <w:rFonts w:ascii="宋体" w:hAnsi="宋体" w:eastAsia="宋体" w:cs="宋体"/>
                <w:color w:val="000000"/>
              </w:rPr>
            </w:pPr>
            <w:r>
              <w:rPr>
                <w:rFonts w:ascii="宋体" w:hAnsi="宋体" w:eastAsia="宋体" w:cs="宋体"/>
                <w:color w:val="000000"/>
              </w:rPr>
              <w:t>货物类</w:t>
            </w:r>
          </w:p>
        </w:tc>
      </w:tr>
      <w:tr w14:paraId="300B2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993D815">
            <w:pPr>
              <w:pStyle w:val="241"/>
              <w:jc w:val="center"/>
              <w:rPr>
                <w:rFonts w:ascii="宋体" w:hAnsi="宋体" w:eastAsia="宋体" w:cs="宋体"/>
                <w:color w:val="000000"/>
              </w:rPr>
            </w:pPr>
            <w:r>
              <w:rPr>
                <w:rFonts w:hint="eastAsia" w:ascii="宋体" w:hAnsi="宋体" w:eastAsia="宋体" w:cs="宋体"/>
                <w:color w:val="000000"/>
              </w:rPr>
              <w:t>15</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061F32C">
            <w:pPr>
              <w:pStyle w:val="241"/>
              <w:jc w:val="center"/>
              <w:rPr>
                <w:rFonts w:ascii="宋体" w:hAnsi="宋体" w:eastAsia="宋体" w:cs="宋体"/>
                <w:color w:val="000000"/>
              </w:rPr>
            </w:pPr>
            <w:r>
              <w:rPr>
                <w:rFonts w:hint="eastAsia" w:ascii="宋体" w:hAnsi="宋体" w:eastAsia="宋体" w:cs="宋体"/>
                <w:color w:val="000000"/>
              </w:rPr>
              <w:t>防冲撞柱</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B9BFDCA">
            <w:pPr>
              <w:pStyle w:val="241"/>
              <w:jc w:val="center"/>
              <w:rPr>
                <w:rFonts w:ascii="宋体" w:hAnsi="宋体" w:eastAsia="宋体" w:cs="宋体"/>
                <w:color w:val="000000"/>
              </w:rPr>
            </w:pPr>
            <w:r>
              <w:rPr>
                <w:rFonts w:hint="eastAsia" w:ascii="宋体" w:hAnsi="宋体" w:eastAsia="宋体" w:cs="宋体"/>
                <w:color w:val="000000"/>
              </w:rPr>
              <w:t>个</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8772377">
            <w:pPr>
              <w:pStyle w:val="241"/>
              <w:jc w:val="center"/>
              <w:rPr>
                <w:rFonts w:ascii="宋体" w:hAnsi="宋体" w:eastAsia="宋体" w:cs="宋体"/>
                <w:color w:val="000000"/>
              </w:rPr>
            </w:pPr>
            <w:r>
              <w:rPr>
                <w:rFonts w:hint="eastAsia" w:ascii="宋体" w:hAnsi="宋体" w:eastAsia="宋体" w:cs="宋体"/>
                <w:color w:val="000000"/>
              </w:rPr>
              <w:t>1600</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338F9C0">
            <w:pPr>
              <w:pStyle w:val="241"/>
              <w:jc w:val="center"/>
              <w:rPr>
                <w:rFonts w:ascii="宋体" w:hAnsi="宋体" w:eastAsia="宋体" w:cs="宋体"/>
                <w:color w:val="000000"/>
              </w:rPr>
            </w:pPr>
            <w:r>
              <w:rPr>
                <w:rFonts w:ascii="宋体" w:hAnsi="宋体" w:eastAsia="宋体" w:cs="宋体"/>
                <w:color w:val="000000"/>
              </w:rPr>
              <w:t>工业（包括采矿业，制造业，电力、热力、燃气及水生产和供应业）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30CCA40">
            <w:pPr>
              <w:pStyle w:val="241"/>
              <w:jc w:val="center"/>
              <w:rPr>
                <w:rFonts w:ascii="宋体" w:hAnsi="宋体" w:eastAsia="宋体" w:cs="宋体"/>
                <w:color w:val="000000"/>
              </w:rPr>
            </w:pPr>
            <w:r>
              <w:rPr>
                <w:rFonts w:ascii="宋体" w:hAnsi="宋体" w:eastAsia="宋体" w:cs="宋体"/>
                <w:color w:val="000000"/>
              </w:rPr>
              <w:t>配件、辅料</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025DA76">
            <w:pPr>
              <w:pStyle w:val="241"/>
              <w:jc w:val="center"/>
              <w:rPr>
                <w:rFonts w:ascii="宋体" w:hAnsi="宋体" w:eastAsia="宋体" w:cs="宋体"/>
                <w:color w:val="000000"/>
              </w:rPr>
            </w:pPr>
            <w:r>
              <w:rPr>
                <w:rFonts w:ascii="宋体" w:hAnsi="宋体" w:eastAsia="宋体" w:cs="宋体"/>
                <w:color w:val="000000"/>
              </w:rPr>
              <w:t>货物类</w:t>
            </w:r>
          </w:p>
        </w:tc>
      </w:tr>
      <w:tr w14:paraId="07BBD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0211CFE">
            <w:pPr>
              <w:pStyle w:val="241"/>
              <w:jc w:val="center"/>
              <w:rPr>
                <w:rFonts w:ascii="宋体" w:hAnsi="宋体" w:eastAsia="宋体" w:cs="宋体"/>
                <w:color w:val="000000"/>
              </w:rPr>
            </w:pPr>
            <w:r>
              <w:rPr>
                <w:rFonts w:hint="eastAsia" w:ascii="宋体" w:hAnsi="宋体" w:eastAsia="宋体" w:cs="宋体"/>
                <w:color w:val="000000"/>
              </w:rPr>
              <w:t>16</w:t>
            </w:r>
          </w:p>
        </w:tc>
        <w:tc>
          <w:tcPr>
            <w:tcW w:w="929"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8E3B4DF">
            <w:pPr>
              <w:pStyle w:val="241"/>
              <w:jc w:val="center"/>
              <w:rPr>
                <w:rFonts w:ascii="宋体" w:hAnsi="宋体" w:eastAsia="宋体" w:cs="宋体"/>
                <w:color w:val="000000"/>
              </w:rPr>
            </w:pPr>
            <w:r>
              <w:rPr>
                <w:rFonts w:hint="eastAsia" w:ascii="宋体" w:hAnsi="宋体" w:eastAsia="宋体" w:cs="宋体"/>
                <w:color w:val="000000"/>
              </w:rPr>
              <w:t>运输安装调试</w:t>
            </w:r>
          </w:p>
        </w:tc>
        <w:tc>
          <w:tcPr>
            <w:tcW w:w="43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9A64135">
            <w:pPr>
              <w:pStyle w:val="241"/>
              <w:jc w:val="center"/>
              <w:rPr>
                <w:rFonts w:ascii="宋体" w:hAnsi="宋体" w:eastAsia="宋体" w:cs="宋体"/>
                <w:color w:val="000000"/>
              </w:rPr>
            </w:pPr>
            <w:r>
              <w:rPr>
                <w:rFonts w:hint="eastAsia" w:ascii="宋体" w:hAnsi="宋体" w:eastAsia="宋体" w:cs="宋体"/>
                <w:color w:val="000000"/>
              </w:rPr>
              <w:t>项</w:t>
            </w:r>
          </w:p>
        </w:tc>
        <w:tc>
          <w:tcPr>
            <w:tcW w:w="385"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023B31E">
            <w:pPr>
              <w:pStyle w:val="241"/>
              <w:jc w:val="center"/>
              <w:rPr>
                <w:rFonts w:ascii="宋体" w:hAnsi="宋体" w:eastAsia="宋体" w:cs="宋体"/>
                <w:color w:val="000000"/>
              </w:rPr>
            </w:pPr>
            <w:r>
              <w:rPr>
                <w:rFonts w:hint="eastAsia" w:ascii="宋体" w:hAnsi="宋体" w:eastAsia="宋体" w:cs="宋体"/>
                <w:color w:val="000000"/>
              </w:rPr>
              <w:t>1</w:t>
            </w:r>
          </w:p>
        </w:tc>
        <w:tc>
          <w:tcPr>
            <w:tcW w:w="181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A0E0FD9">
            <w:pPr>
              <w:pStyle w:val="241"/>
              <w:jc w:val="center"/>
              <w:rPr>
                <w:rFonts w:ascii="宋体" w:hAnsi="宋体" w:eastAsia="宋体" w:cs="宋体"/>
                <w:color w:val="000000"/>
              </w:rPr>
            </w:pPr>
            <w:r>
              <w:rPr>
                <w:rFonts w:ascii="宋体" w:hAnsi="宋体" w:eastAsia="宋体" w:cs="宋体"/>
                <w:color w:val="000000"/>
              </w:rPr>
              <w:t>工业（包括采矿业，制造业，电力、热力、燃气及水生产和供应业）</w:t>
            </w:r>
          </w:p>
        </w:tc>
        <w:tc>
          <w:tcPr>
            <w:tcW w:w="68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74B8D9A">
            <w:pPr>
              <w:pStyle w:val="241"/>
              <w:jc w:val="center"/>
              <w:rPr>
                <w:rFonts w:ascii="宋体" w:hAnsi="宋体" w:eastAsia="宋体" w:cs="宋体"/>
                <w:color w:val="000000"/>
              </w:rPr>
            </w:pPr>
            <w:r>
              <w:rPr>
                <w:rFonts w:ascii="宋体" w:hAnsi="宋体" w:eastAsia="宋体" w:cs="宋体"/>
                <w:color w:val="000000"/>
              </w:rPr>
              <w:t>配件、辅料</w:t>
            </w:r>
          </w:p>
        </w:tc>
        <w:tc>
          <w:tcPr>
            <w:tcW w:w="47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F1F3367">
            <w:pPr>
              <w:pStyle w:val="241"/>
              <w:jc w:val="center"/>
              <w:rPr>
                <w:rFonts w:ascii="宋体" w:hAnsi="宋体" w:eastAsia="宋体" w:cs="宋体"/>
                <w:color w:val="000000"/>
              </w:rPr>
            </w:pPr>
            <w:r>
              <w:rPr>
                <w:rFonts w:hint="eastAsia" w:ascii="宋体" w:hAnsi="宋体" w:eastAsia="宋体" w:cs="宋体"/>
                <w:color w:val="000000"/>
              </w:rPr>
              <w:t>服务</w:t>
            </w:r>
            <w:r>
              <w:rPr>
                <w:rFonts w:ascii="宋体" w:hAnsi="宋体" w:eastAsia="宋体" w:cs="宋体"/>
                <w:color w:val="000000"/>
              </w:rPr>
              <w:t>类</w:t>
            </w:r>
          </w:p>
        </w:tc>
      </w:tr>
    </w:tbl>
    <w:p w14:paraId="5A6B103B">
      <w:pPr>
        <w:pStyle w:val="246"/>
        <w:spacing w:line="440" w:lineRule="exact"/>
        <w:ind w:firstLine="500"/>
        <w:rPr>
          <w:rFonts w:ascii="宋体" w:hAnsi="宋体" w:eastAsia="宋体" w:cs="宋体"/>
          <w:spacing w:val="7"/>
        </w:rPr>
      </w:pPr>
      <w:r>
        <w:rPr>
          <w:rFonts w:ascii="宋体" w:hAnsi="宋体" w:eastAsia="宋体" w:cs="宋体"/>
          <w:color w:val="000000"/>
          <w:spacing w:val="7"/>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4433D118">
      <w:pPr>
        <w:pStyle w:val="262"/>
        <w:spacing w:line="440" w:lineRule="exact"/>
        <w:ind w:firstLine="500"/>
        <w:rPr>
          <w:rFonts w:ascii="宋体" w:hAnsi="宋体" w:eastAsia="宋体" w:cs="宋体"/>
          <w:color w:val="000000"/>
          <w:spacing w:val="7"/>
        </w:rPr>
      </w:pPr>
      <w:r>
        <w:rPr>
          <w:rFonts w:ascii="宋体" w:hAnsi="宋体" w:eastAsia="宋体" w:cs="宋体"/>
          <w:color w:val="000000"/>
          <w:spacing w:val="7"/>
        </w:rPr>
        <w:t>2.核心产品清单</w:t>
      </w:r>
    </w:p>
    <w:tbl>
      <w:tblPr>
        <w:tblStyle w:val="37"/>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2961"/>
        <w:gridCol w:w="7001"/>
      </w:tblGrid>
      <w:tr w14:paraId="2FA8C2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2757" w:type="dxa"/>
            <w:tcMar>
              <w:top w:w="100" w:type="dxa"/>
              <w:bottom w:w="100" w:type="dxa"/>
            </w:tcMar>
            <w:vAlign w:val="center"/>
          </w:tcPr>
          <w:p w14:paraId="06F3D76B">
            <w:pPr>
              <w:pStyle w:val="247"/>
              <w:widowControl w:val="0"/>
              <w:jc w:val="center"/>
              <w:rPr>
                <w:rFonts w:ascii="宋体" w:hAnsi="宋体" w:eastAsia="宋体" w:cs="宋体"/>
              </w:rPr>
            </w:pPr>
            <w:r>
              <w:rPr>
                <w:rFonts w:ascii="宋体" w:hAnsi="宋体" w:eastAsia="宋体" w:cs="宋体"/>
              </w:rPr>
              <w:t>序号</w:t>
            </w:r>
          </w:p>
        </w:tc>
        <w:tc>
          <w:tcPr>
            <w:tcW w:w="6519" w:type="dxa"/>
            <w:tcMar>
              <w:top w:w="100" w:type="dxa"/>
              <w:bottom w:w="100" w:type="dxa"/>
            </w:tcMar>
            <w:vAlign w:val="center"/>
          </w:tcPr>
          <w:p w14:paraId="21851427">
            <w:pPr>
              <w:pStyle w:val="247"/>
              <w:widowControl w:val="0"/>
              <w:jc w:val="center"/>
              <w:rPr>
                <w:rFonts w:ascii="宋体" w:hAnsi="宋体" w:eastAsia="宋体" w:cs="宋体"/>
              </w:rPr>
            </w:pPr>
            <w:r>
              <w:rPr>
                <w:rFonts w:ascii="宋体" w:hAnsi="宋体" w:eastAsia="宋体" w:cs="宋体"/>
              </w:rPr>
              <w:t>名称</w:t>
            </w:r>
          </w:p>
        </w:tc>
      </w:tr>
      <w:tr w14:paraId="37CFB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2757" w:type="dxa"/>
            <w:tcMar>
              <w:top w:w="100" w:type="dxa"/>
              <w:bottom w:w="100" w:type="dxa"/>
            </w:tcMar>
            <w:vAlign w:val="center"/>
          </w:tcPr>
          <w:p w14:paraId="45654CFB">
            <w:pPr>
              <w:pStyle w:val="247"/>
              <w:widowControl w:val="0"/>
              <w:jc w:val="center"/>
              <w:rPr>
                <w:rFonts w:ascii="宋体" w:hAnsi="宋体" w:eastAsia="宋体" w:cs="宋体"/>
              </w:rPr>
            </w:pPr>
            <w:r>
              <w:rPr>
                <w:rFonts w:ascii="宋体" w:hAnsi="宋体" w:eastAsia="宋体" w:cs="宋体"/>
              </w:rPr>
              <w:t>1</w:t>
            </w:r>
          </w:p>
        </w:tc>
        <w:tc>
          <w:tcPr>
            <w:tcW w:w="6519" w:type="dxa"/>
            <w:tcMar>
              <w:top w:w="100" w:type="dxa"/>
              <w:bottom w:w="100" w:type="dxa"/>
            </w:tcMar>
            <w:vAlign w:val="center"/>
          </w:tcPr>
          <w:p w14:paraId="711A4239">
            <w:pPr>
              <w:pStyle w:val="247"/>
              <w:widowControl w:val="0"/>
              <w:jc w:val="center"/>
              <w:rPr>
                <w:rFonts w:ascii="宋体" w:hAnsi="宋体" w:eastAsia="宋体" w:cs="宋体"/>
              </w:rPr>
            </w:pPr>
            <w:r>
              <w:rPr>
                <w:rFonts w:hint="eastAsia" w:ascii="宋体" w:hAnsi="宋体" w:eastAsia="宋体" w:cs="宋体"/>
                <w:color w:val="000000"/>
              </w:rPr>
              <w:t>锂电池专用灭火器6L</w:t>
            </w:r>
          </w:p>
        </w:tc>
      </w:tr>
    </w:tbl>
    <w:p w14:paraId="5A2DD648">
      <w:pPr>
        <w:pStyle w:val="262"/>
        <w:spacing w:line="440" w:lineRule="exact"/>
        <w:ind w:firstLine="500"/>
        <w:rPr>
          <w:rFonts w:ascii="宋体" w:hAnsi="宋体" w:eastAsia="宋体" w:cs="宋体"/>
          <w:spacing w:val="7"/>
        </w:rPr>
      </w:pPr>
      <w:r>
        <w:rPr>
          <w:rFonts w:hint="eastAsia" w:ascii="宋体" w:hAnsi="宋体" w:eastAsia="宋体" w:cs="宋体"/>
          <w:spacing w:val="7"/>
        </w:rPr>
        <w:t>注：(1)若本次采购项目为单一产品，提供相同品牌产品且通过资格审查、符合性审查的不同投标人参加同一合同项下投标的，按一家投标人计算。对招标文件作实质响应的投标人不足三个的，将作废标处理；</w:t>
      </w:r>
    </w:p>
    <w:p w14:paraId="7CAD6D24">
      <w:pPr>
        <w:pStyle w:val="262"/>
        <w:spacing w:line="440" w:lineRule="exact"/>
        <w:ind w:firstLine="500"/>
        <w:rPr>
          <w:rFonts w:ascii="宋体" w:hAnsi="宋体" w:eastAsia="宋体" w:cs="宋体"/>
          <w:spacing w:val="7"/>
        </w:rPr>
      </w:pPr>
      <w:r>
        <w:rPr>
          <w:rFonts w:hint="eastAsia" w:ascii="宋体" w:hAnsi="宋体" w:eastAsia="宋体" w:cs="宋体"/>
          <w:spacing w:val="7"/>
        </w:rPr>
        <w:t>(2)若本次采购项目为非单一产品，提供相同品牌核心产品且通过资格审查、符合性审查的不同投标人参加同一合同项下投标的，按一家投标人计算。对招标文件作实质响应的投标人不足三个的，将作废标处理。</w:t>
      </w:r>
    </w:p>
    <w:p w14:paraId="600F6C07">
      <w:pPr>
        <w:pStyle w:val="263"/>
        <w:spacing w:line="440" w:lineRule="exact"/>
        <w:ind w:firstLine="500"/>
        <w:rPr>
          <w:rFonts w:ascii="宋体" w:hAnsi="宋体" w:eastAsia="宋体" w:cs="宋体"/>
          <w:spacing w:val="7"/>
        </w:rPr>
      </w:pPr>
      <w:r>
        <w:rPr>
          <w:rFonts w:ascii="宋体" w:hAnsi="宋体" w:eastAsia="宋体" w:cs="宋体"/>
          <w:spacing w:val="7"/>
        </w:rPr>
        <w:t>3、节能、环境标志产品清单(请提供国家确定的认证机构出具的、处于有效期之内的节能产品、环境标志产品认证证书（若证书有附件（附录）的，附件（附录）须随证书一起提供)）</w:t>
      </w:r>
    </w:p>
    <w:p w14:paraId="0E4B2801">
      <w:pPr>
        <w:pStyle w:val="263"/>
        <w:spacing w:line="440" w:lineRule="exact"/>
        <w:ind w:firstLine="500"/>
        <w:rPr>
          <w:rFonts w:ascii="宋体" w:hAnsi="宋体" w:eastAsia="宋体" w:cs="宋体"/>
          <w:spacing w:val="7"/>
        </w:rPr>
      </w:pPr>
      <w:r>
        <w:rPr>
          <w:rFonts w:ascii="宋体" w:hAnsi="宋体" w:eastAsia="宋体" w:cs="宋体"/>
          <w:color w:val="000000"/>
          <w:spacing w:val="7"/>
        </w:rPr>
        <w:t xml:space="preserve">节能产品政府采购品目清单： 无 </w:t>
      </w:r>
    </w:p>
    <w:p w14:paraId="553C87A5">
      <w:pPr>
        <w:pStyle w:val="264"/>
        <w:spacing w:line="440" w:lineRule="exact"/>
        <w:ind w:firstLine="500"/>
        <w:rPr>
          <w:rFonts w:ascii="宋体" w:hAnsi="宋体" w:eastAsia="宋体" w:cs="宋体"/>
          <w:color w:val="000000"/>
          <w:spacing w:val="7"/>
        </w:rPr>
      </w:pPr>
      <w:r>
        <w:rPr>
          <w:rFonts w:ascii="宋体" w:hAnsi="宋体" w:eastAsia="宋体" w:cs="宋体"/>
          <w:color w:val="000000"/>
          <w:spacing w:val="7"/>
        </w:rPr>
        <w:t>环境标志产品政府采购品目清单:无</w:t>
      </w:r>
    </w:p>
    <w:p w14:paraId="6F91B3AD">
      <w:pPr>
        <w:pStyle w:val="264"/>
        <w:spacing w:line="440" w:lineRule="exact"/>
        <w:ind w:firstLine="500"/>
      </w:pPr>
      <w:r>
        <w:rPr>
          <w:rFonts w:hint="eastAsia" w:ascii="宋体" w:hAnsi="宋体" w:eastAsia="宋体" w:cs="宋体"/>
        </w:rPr>
        <w:t>4、绿色采购其他政策：</w:t>
      </w:r>
      <w:r>
        <w:rPr>
          <w:rFonts w:hint="eastAsia" w:ascii="宋体" w:hAnsi="宋体" w:eastAsia="宋体" w:cs="宋体"/>
        </w:rPr>
        <w:br w:type="textWrapping"/>
      </w:r>
      <w:r>
        <w:rPr>
          <w:rFonts w:hint="eastAsia" w:ascii="宋体" w:hAnsi="宋体" w:eastAsia="宋体" w:cs="宋体"/>
          <w:spacing w:val="7"/>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rPr>
        <w:br w:type="textWrapping"/>
      </w:r>
      <w:r>
        <w:rPr>
          <w:rFonts w:hint="eastAsia" w:ascii="宋体" w:hAnsi="宋体" w:eastAsia="宋体" w:cs="宋体"/>
        </w:rPr>
        <w:t xml:space="preserve">    （2）</w:t>
      </w:r>
      <w:r>
        <w:rPr>
          <w:rFonts w:hint="eastAsia" w:ascii="宋体" w:hAnsi="宋体" w:eastAsia="宋体" w:cs="宋体"/>
          <w:spacing w:val="7"/>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22803C90">
      <w:pPr>
        <w:widowControl/>
        <w:numPr>
          <w:ilvl w:val="0"/>
          <w:numId w:val="11"/>
        </w:numPr>
        <w:spacing w:before="120" w:after="120"/>
        <w:ind w:firstLine="0"/>
        <w:outlineLvl w:val="1"/>
        <w:rPr>
          <w:rFonts w:ascii="宋体" w:hAnsi="宋体" w:cs="宋体"/>
          <w:b/>
          <w:color w:val="000000"/>
          <w:sz w:val="28"/>
          <w:szCs w:val="28"/>
        </w:rPr>
      </w:pPr>
      <w:r>
        <w:rPr>
          <w:rFonts w:hint="eastAsia" w:ascii="宋体" w:hAnsi="宋体" w:cs="宋体"/>
          <w:b/>
          <w:color w:val="000000"/>
          <w:sz w:val="28"/>
          <w:szCs w:val="28"/>
        </w:rPr>
        <w:t>技术要求</w:t>
      </w:r>
    </w:p>
    <w:p w14:paraId="75B56B9A">
      <w:pPr>
        <w:numPr>
          <w:ilvl w:val="0"/>
          <w:numId w:val="12"/>
        </w:numPr>
        <w:ind w:firstLine="482" w:firstLineChars="200"/>
        <w:outlineLvl w:val="0"/>
        <w:rPr>
          <w:rFonts w:ascii="宋体" w:hAnsi="宋体" w:cs="宋体"/>
          <w:b/>
          <w:bCs/>
          <w:sz w:val="24"/>
        </w:rPr>
      </w:pPr>
      <w:r>
        <w:rPr>
          <w:rFonts w:hint="eastAsia" w:ascii="宋体" w:hAnsi="宋体" w:cs="宋体"/>
          <w:b/>
          <w:bCs/>
          <w:sz w:val="24"/>
        </w:rPr>
        <w:t>项目概况</w:t>
      </w:r>
    </w:p>
    <w:tbl>
      <w:tblPr>
        <w:tblStyle w:val="37"/>
        <w:tblW w:w="49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34"/>
        <w:gridCol w:w="1237"/>
        <w:gridCol w:w="7724"/>
      </w:tblGrid>
      <w:tr w14:paraId="207596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35B3AA8">
            <w:pPr>
              <w:widowControl/>
              <w:spacing w:line="360" w:lineRule="auto"/>
              <w:ind w:firstLine="0"/>
              <w:jc w:val="center"/>
              <w:rPr>
                <w:sz w:val="24"/>
              </w:rPr>
            </w:pPr>
            <w:r>
              <w:rPr>
                <w:sz w:val="24"/>
              </w:rPr>
              <w:t>序号</w:t>
            </w:r>
          </w:p>
        </w:tc>
        <w:tc>
          <w:tcPr>
            <w:tcW w:w="631"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840EF0B">
            <w:pPr>
              <w:widowControl/>
              <w:spacing w:line="360" w:lineRule="auto"/>
              <w:ind w:firstLine="0"/>
              <w:jc w:val="center"/>
              <w:rPr>
                <w:sz w:val="24"/>
              </w:rPr>
            </w:pPr>
            <w:r>
              <w:rPr>
                <w:sz w:val="24"/>
              </w:rPr>
              <w:t>名称</w:t>
            </w:r>
          </w:p>
        </w:tc>
        <w:tc>
          <w:tcPr>
            <w:tcW w:w="3941"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2EEE227">
            <w:pPr>
              <w:widowControl/>
              <w:spacing w:line="360" w:lineRule="auto"/>
              <w:ind w:firstLine="0"/>
              <w:jc w:val="center"/>
              <w:rPr>
                <w:sz w:val="24"/>
              </w:rPr>
            </w:pPr>
            <w:r>
              <w:rPr>
                <w:sz w:val="24"/>
              </w:rPr>
              <w:t>内容</w:t>
            </w:r>
          </w:p>
        </w:tc>
      </w:tr>
      <w:tr w14:paraId="060CE8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FC6B0B2">
            <w:pPr>
              <w:widowControl/>
              <w:spacing w:line="360" w:lineRule="auto"/>
              <w:ind w:firstLine="0"/>
              <w:jc w:val="center"/>
              <w:rPr>
                <w:rFonts w:ascii="宋体" w:hAnsi="宋体" w:cs="宋体"/>
                <w:color w:val="000000"/>
                <w:sz w:val="24"/>
              </w:rPr>
            </w:pPr>
            <w:r>
              <w:rPr>
                <w:rFonts w:hint="eastAsia" w:ascii="宋体" w:hAnsi="宋体" w:cs="宋体"/>
                <w:color w:val="000000"/>
                <w:sz w:val="24"/>
              </w:rPr>
              <w:t>1</w:t>
            </w:r>
          </w:p>
        </w:tc>
        <w:tc>
          <w:tcPr>
            <w:tcW w:w="631"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0A1CC47">
            <w:pPr>
              <w:widowControl/>
              <w:spacing w:line="360" w:lineRule="auto"/>
              <w:ind w:firstLine="0"/>
              <w:jc w:val="center"/>
              <w:rPr>
                <w:rFonts w:ascii="宋体" w:hAnsi="宋体" w:cs="宋体"/>
                <w:color w:val="000000"/>
                <w:sz w:val="24"/>
              </w:rPr>
            </w:pPr>
            <w:r>
              <w:rPr>
                <w:rFonts w:hint="eastAsia" w:ascii="宋体" w:hAnsi="宋体" w:cs="宋体"/>
                <w:color w:val="000000"/>
                <w:sz w:val="24"/>
              </w:rPr>
              <w:t>项目背景</w:t>
            </w:r>
          </w:p>
        </w:tc>
        <w:tc>
          <w:tcPr>
            <w:tcW w:w="3941"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502C415">
            <w:pPr>
              <w:pStyle w:val="279"/>
              <w:rPr>
                <w:rFonts w:eastAsia="宋体"/>
              </w:rPr>
            </w:pPr>
            <w:r>
              <w:rPr>
                <w:rFonts w:hint="eastAsia" w:eastAsia="宋体"/>
              </w:rPr>
              <w:t>根据《2025年苏州市民生实事项目“苏安充”工程实事方案》要求，在2025年底前确保所有拆迁安置小区内，电动自行车充电桩消防“新三件套”（消防长沟、锂电池灭火器及智能AI探头）和地下车库推车式锂电池灭火器及灭火毯安装覆盖率达100%。通过公开招标的方式，对部分原有充电桩和所有地下汽车库进行提档升级。</w:t>
            </w:r>
          </w:p>
        </w:tc>
      </w:tr>
      <w:tr w14:paraId="5C2657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6"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C3ECC67">
            <w:pPr>
              <w:widowControl/>
              <w:spacing w:line="360" w:lineRule="auto"/>
              <w:jc w:val="center"/>
              <w:rPr>
                <w:rFonts w:ascii="宋体" w:hAnsi="宋体" w:cs="宋体"/>
                <w:color w:val="000000"/>
                <w:sz w:val="24"/>
              </w:rPr>
            </w:pPr>
            <w:r>
              <w:rPr>
                <w:rFonts w:ascii="宋体" w:hAnsi="宋体" w:cs="宋体"/>
                <w:color w:val="000000"/>
                <w:sz w:val="24"/>
              </w:rPr>
              <w:t>2</w:t>
            </w:r>
          </w:p>
        </w:tc>
        <w:tc>
          <w:tcPr>
            <w:tcW w:w="631"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4A32733">
            <w:pPr>
              <w:widowControl/>
              <w:spacing w:line="360" w:lineRule="auto"/>
              <w:ind w:firstLine="0"/>
              <w:rPr>
                <w:rFonts w:ascii="宋体" w:hAnsi="宋体" w:cs="宋体"/>
                <w:color w:val="000000"/>
                <w:sz w:val="24"/>
              </w:rPr>
            </w:pPr>
            <w:r>
              <w:rPr>
                <w:rFonts w:ascii="宋体" w:hAnsi="宋体" w:cs="宋体"/>
                <w:color w:val="000000"/>
                <w:sz w:val="24"/>
              </w:rPr>
              <w:t>实施地点</w:t>
            </w:r>
          </w:p>
        </w:tc>
        <w:tc>
          <w:tcPr>
            <w:tcW w:w="3941"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A1500B1">
            <w:pPr>
              <w:widowControl/>
              <w:spacing w:line="360" w:lineRule="auto"/>
              <w:ind w:firstLine="0"/>
              <w:jc w:val="left"/>
              <w:rPr>
                <w:sz w:val="24"/>
              </w:rPr>
            </w:pPr>
            <w:r>
              <w:rPr>
                <w:sz w:val="24"/>
              </w:rPr>
              <w:t>采购人指定地点详见四、其他部分 附件1</w:t>
            </w:r>
            <w:r>
              <w:rPr>
                <w:rFonts w:hint="eastAsia"/>
                <w:sz w:val="24"/>
              </w:rPr>
              <w:t>：</w:t>
            </w:r>
            <w:r>
              <w:rPr>
                <w:sz w:val="24"/>
              </w:rPr>
              <w:t>锦丰镇拆迁安置小区电动自行车充电桩明细表</w:t>
            </w:r>
          </w:p>
        </w:tc>
      </w:tr>
    </w:tbl>
    <w:p w14:paraId="37AF022A">
      <w:pPr>
        <w:numPr>
          <w:ilvl w:val="0"/>
          <w:numId w:val="12"/>
        </w:numPr>
        <w:ind w:firstLine="482" w:firstLineChars="200"/>
        <w:outlineLvl w:val="0"/>
        <w:rPr>
          <w:rFonts w:ascii="宋体" w:hAnsi="宋体" w:cs="宋体"/>
          <w:b/>
          <w:bCs/>
          <w:sz w:val="24"/>
        </w:rPr>
      </w:pPr>
      <w:r>
        <w:rPr>
          <w:rFonts w:hint="eastAsia" w:ascii="宋体" w:hAnsi="宋体" w:cs="宋体"/>
          <w:b/>
          <w:bCs/>
          <w:sz w:val="24"/>
        </w:rPr>
        <w:t>技术参数</w:t>
      </w:r>
    </w:p>
    <w:tbl>
      <w:tblPr>
        <w:tblStyle w:val="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1489"/>
        <w:gridCol w:w="7899"/>
      </w:tblGrid>
      <w:tr w14:paraId="4C03D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B0945A3">
            <w:pPr>
              <w:pStyle w:val="279"/>
              <w:jc w:val="center"/>
              <w:rPr>
                <w:rFonts w:ascii="宋体" w:hAnsi="宋体" w:eastAsia="宋体" w:cs="宋体"/>
              </w:rPr>
            </w:pPr>
            <w:r>
              <w:rPr>
                <w:rFonts w:ascii="宋体" w:hAnsi="宋体" w:eastAsia="宋体" w:cs="宋体"/>
                <w:color w:val="000000"/>
              </w:rPr>
              <w:t>序号</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2EC6ED3">
            <w:pPr>
              <w:pStyle w:val="279"/>
              <w:jc w:val="center"/>
              <w:rPr>
                <w:rFonts w:ascii="宋体" w:hAnsi="宋体" w:eastAsia="宋体" w:cs="宋体"/>
              </w:rPr>
            </w:pPr>
            <w:r>
              <w:rPr>
                <w:rFonts w:ascii="宋体" w:hAnsi="宋体" w:eastAsia="宋体" w:cs="宋体"/>
                <w:color w:val="000000"/>
              </w:rPr>
              <w:t>名称</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1AC5B91">
            <w:pPr>
              <w:pStyle w:val="279"/>
              <w:jc w:val="center"/>
              <w:rPr>
                <w:rFonts w:ascii="宋体" w:hAnsi="宋体" w:eastAsia="宋体" w:cs="宋体"/>
              </w:rPr>
            </w:pPr>
            <w:r>
              <w:rPr>
                <w:rFonts w:hint="eastAsia" w:ascii="宋体" w:hAnsi="宋体" w:eastAsia="宋体" w:cs="宋体"/>
                <w:color w:val="000000"/>
              </w:rPr>
              <w:t>参数要求</w:t>
            </w:r>
          </w:p>
        </w:tc>
      </w:tr>
      <w:tr w14:paraId="0E1A5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70541AD">
            <w:pPr>
              <w:pStyle w:val="279"/>
              <w:jc w:val="center"/>
              <w:rPr>
                <w:rFonts w:ascii="宋体" w:hAnsi="宋体" w:eastAsia="宋体" w:cs="宋体"/>
              </w:rPr>
            </w:pPr>
            <w:r>
              <w:rPr>
                <w:rFonts w:ascii="宋体" w:hAnsi="宋体" w:eastAsia="宋体" w:cs="宋体"/>
                <w:color w:val="000000"/>
              </w:rPr>
              <w:t>1</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9E914AD">
            <w:pPr>
              <w:pStyle w:val="279"/>
              <w:jc w:val="center"/>
              <w:rPr>
                <w:rFonts w:ascii="宋体" w:hAnsi="宋体" w:eastAsia="宋体" w:cs="宋体"/>
              </w:rPr>
            </w:pPr>
            <w:r>
              <w:rPr>
                <w:rFonts w:hint="eastAsia" w:ascii="宋体" w:hAnsi="宋体" w:eastAsia="宋体" w:cs="宋体"/>
                <w:color w:val="000000"/>
                <w:lang w:bidi="ar"/>
              </w:rPr>
              <w:t>监控立杆</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A3927AD">
            <w:pPr>
              <w:pStyle w:val="279"/>
              <w:rPr>
                <w:rFonts w:ascii="宋体" w:hAnsi="宋体" w:eastAsia="宋体" w:cs="宋体"/>
                <w:color w:val="000000"/>
              </w:rPr>
            </w:pPr>
            <w:r>
              <w:rPr>
                <w:rFonts w:eastAsia="宋体"/>
              </w:rPr>
              <w:t>（1）监控杆材料采用Q235优质钢板，喷塑；总高度不低于2米；</w:t>
            </w:r>
            <w:r>
              <w:rPr>
                <w:rFonts w:eastAsia="宋体"/>
              </w:rPr>
              <w:br w:type="textWrapping"/>
            </w:r>
            <w:r>
              <w:rPr>
                <w:rFonts w:eastAsia="宋体"/>
              </w:rPr>
              <w:t>（2）立杆应做灌注基础，基础规格不小于400mm×400mm×500mm；</w:t>
            </w:r>
            <w:r>
              <w:rPr>
                <w:rFonts w:eastAsia="宋体"/>
              </w:rPr>
              <w:br w:type="textWrapping"/>
            </w:r>
            <w:r>
              <w:rPr>
                <w:rFonts w:eastAsia="宋体"/>
              </w:rPr>
              <w:t>（3）基础浇注用水泥混凝土砂浆应使用现搅拌的C25及以上规格产品，浇注时应符合国家相关标准、规范的要求。浇注时应时刻注意地笼的位置情况，要多用水平尺测量地笼钢板平面，并调节使其保持水平。</w:t>
            </w:r>
          </w:p>
        </w:tc>
      </w:tr>
      <w:tr w14:paraId="581BB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DA5B372">
            <w:pPr>
              <w:pStyle w:val="279"/>
              <w:jc w:val="center"/>
              <w:rPr>
                <w:rFonts w:ascii="宋体" w:hAnsi="宋体" w:eastAsia="宋体" w:cs="宋体"/>
                <w:color w:val="000000"/>
                <w:lang w:bidi="ar"/>
              </w:rPr>
            </w:pPr>
            <w:r>
              <w:rPr>
                <w:rFonts w:hint="eastAsia" w:ascii="宋体" w:hAnsi="宋体" w:eastAsia="宋体" w:cs="宋体"/>
                <w:color w:val="000000"/>
              </w:rPr>
              <w:t>2</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EEF61E2">
            <w:pPr>
              <w:pStyle w:val="279"/>
              <w:jc w:val="center"/>
              <w:rPr>
                <w:rFonts w:ascii="宋体" w:hAnsi="宋体" w:eastAsia="宋体" w:cs="宋体"/>
                <w:color w:val="000000"/>
                <w:lang w:bidi="ar"/>
              </w:rPr>
            </w:pPr>
            <w:r>
              <w:rPr>
                <w:rFonts w:hint="eastAsia" w:ascii="宋体" w:hAnsi="宋体" w:eastAsia="宋体" w:cs="宋体"/>
                <w:color w:val="000000"/>
                <w:lang w:bidi="ar"/>
              </w:rPr>
              <w:t>普通监控</w:t>
            </w:r>
          </w:p>
          <w:p w14:paraId="171A5CBF">
            <w:pPr>
              <w:pStyle w:val="279"/>
              <w:jc w:val="center"/>
              <w:rPr>
                <w:rFonts w:ascii="宋体" w:hAnsi="宋体" w:eastAsia="宋体" w:cs="宋体"/>
                <w:color w:val="000000"/>
                <w:lang w:bidi="ar"/>
              </w:rPr>
            </w:pP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599D0D9">
            <w:pPr>
              <w:pStyle w:val="279"/>
              <w:rPr>
                <w:rFonts w:eastAsia="宋体"/>
              </w:rPr>
            </w:pPr>
            <w:r>
              <w:rPr>
                <w:rFonts w:hint="eastAsia" w:eastAsia="宋体"/>
              </w:rPr>
              <w:t>1、筒形摄像机：最大分辨率2560x1440@25fps。最低照度彩色0.005lx。支持白光灯补光，当白光灯开启时，可识别距离样机 30米处的人体轮廊</w:t>
            </w:r>
          </w:p>
          <w:p w14:paraId="4792152B">
            <w:pPr>
              <w:pStyle w:val="279"/>
              <w:rPr>
                <w:rFonts w:eastAsia="宋体"/>
              </w:rPr>
            </w:pPr>
            <w:r>
              <w:rPr>
                <w:rFonts w:hint="eastAsia" w:eastAsia="宋体"/>
              </w:rPr>
              <w:t>2、同一静止场景相同图像质量下，设备在H.264或H.265编码方式时，开启智能编码功能和不开启智能编码相比，码率节约80%。</w:t>
            </w:r>
          </w:p>
          <w:p w14:paraId="7D26F530">
            <w:pPr>
              <w:pStyle w:val="279"/>
              <w:rPr>
                <w:rFonts w:eastAsia="宋体"/>
              </w:rPr>
            </w:pPr>
            <w:r>
              <w:rPr>
                <w:rFonts w:hint="eastAsia" w:eastAsia="宋体"/>
              </w:rPr>
              <w:t>3、支持智能报警防干扰功能，智能分析行为类型为区域入侵、越界入侵、进入区域、离开区域时，报警检测目标设置为人体或车辆时，光线明暗变化，篮球滚动，狗行走，树摇晃，不触发报警。</w:t>
            </w:r>
          </w:p>
          <w:p w14:paraId="60140C81">
            <w:pPr>
              <w:pStyle w:val="279"/>
              <w:rPr>
                <w:rFonts w:hint="eastAsia" w:eastAsia="宋体"/>
              </w:rPr>
            </w:pPr>
            <w:r>
              <w:rPr>
                <w:rFonts w:hint="eastAsia" w:eastAsia="宋体"/>
              </w:rPr>
              <w:t>4、当报警产生时，可触发联动声音报警。报警声音类型不低于 10 种，报警音量和重复次数可设置。</w:t>
            </w:r>
          </w:p>
          <w:p w14:paraId="34F1F631">
            <w:pPr>
              <w:pStyle w:val="279"/>
              <w:rPr>
                <w:rFonts w:hint="eastAsia" w:eastAsia="宋体"/>
              </w:rPr>
            </w:pPr>
            <w:r>
              <w:rPr>
                <w:rFonts w:hint="eastAsia" w:eastAsia="宋体"/>
              </w:rPr>
              <w:t>▲5、补光灯开启后，补光灯应均匀无波纹状、圆环状、麻点状、条纹状。（请在投标文件中提供检测机构出具的具有CMA标识的检测报告）。</w:t>
            </w:r>
          </w:p>
          <w:p w14:paraId="1151A5F7">
            <w:pPr>
              <w:pStyle w:val="279"/>
              <w:rPr>
                <w:rFonts w:hint="eastAsia" w:eastAsia="宋体"/>
              </w:rPr>
            </w:pPr>
            <w:r>
              <w:rPr>
                <w:rFonts w:hint="eastAsia" w:eastAsia="宋体"/>
              </w:rPr>
              <w:t>▲6、具有AI-ISP图像质量提升功能，在低照度环境下，可自动调节预览场景视频画面中人脸、人体、车辆等目标及预览场景视频画面的区域曝光、亮度、色彩饱和度、对比度、锐度等。（请在投标文件中提供检测机构出具的具有CMA标识的检测报告）。</w:t>
            </w:r>
          </w:p>
          <w:p w14:paraId="6491F65D">
            <w:pPr>
              <w:pStyle w:val="279"/>
              <w:rPr>
                <w:rFonts w:eastAsia="宋体"/>
              </w:rPr>
            </w:pPr>
            <w:r>
              <w:rPr>
                <w:rFonts w:hint="eastAsia" w:eastAsia="宋体"/>
              </w:rPr>
              <w:t>7、支持1路报警输入，1路报警输出，1路音频输入，1路音频输出，1个SD卡槽，1个DC12V电压输出接口，支持DC12V或POE供电。</w:t>
            </w:r>
          </w:p>
          <w:p w14:paraId="1D6BAA0D">
            <w:pPr>
              <w:pStyle w:val="279"/>
              <w:rPr>
                <w:rFonts w:eastAsia="宋体"/>
              </w:rPr>
            </w:pPr>
            <w:r>
              <w:rPr>
                <w:rFonts w:hint="eastAsia" w:eastAsia="宋体"/>
              </w:rPr>
              <w:t>8、IP67防水防护等级。</w:t>
            </w:r>
          </w:p>
        </w:tc>
      </w:tr>
      <w:tr w14:paraId="47644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E64C136">
            <w:pPr>
              <w:pStyle w:val="279"/>
              <w:jc w:val="center"/>
              <w:rPr>
                <w:rFonts w:ascii="宋体" w:hAnsi="宋体" w:eastAsia="宋体" w:cs="宋体"/>
              </w:rPr>
            </w:pPr>
            <w:r>
              <w:rPr>
                <w:rFonts w:hint="eastAsia" w:ascii="宋体" w:hAnsi="宋体" w:eastAsia="宋体" w:cs="宋体"/>
                <w:color w:val="000000"/>
              </w:rPr>
              <w:t>3</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5437213">
            <w:pPr>
              <w:pStyle w:val="279"/>
              <w:jc w:val="center"/>
              <w:rPr>
                <w:rFonts w:ascii="宋体" w:hAnsi="宋体" w:eastAsia="宋体" w:cs="宋体"/>
              </w:rPr>
            </w:pPr>
            <w:r>
              <w:rPr>
                <w:rFonts w:hint="eastAsia" w:ascii="宋体" w:hAnsi="宋体" w:eastAsia="宋体" w:cs="宋体"/>
                <w:color w:val="000000"/>
                <w:lang w:bidi="ar"/>
              </w:rPr>
              <w:t>AI监控</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4DCC129">
            <w:pPr>
              <w:pStyle w:val="279"/>
              <w:rPr>
                <w:rFonts w:ascii="宋体" w:hAnsi="宋体" w:cs="宋体"/>
                <w:color w:val="000000"/>
              </w:rPr>
            </w:pPr>
            <w:r>
              <w:rPr>
                <w:rFonts w:hint="eastAsia" w:ascii="宋体" w:hAnsi="宋体" w:cs="宋体"/>
                <w:color w:val="000000"/>
              </w:rPr>
              <w:t>【功能特性】</w:t>
            </w:r>
            <w:r>
              <w:rPr>
                <w:rFonts w:ascii="宋体" w:hAnsi="宋体" w:cs="宋体"/>
                <w:color w:val="000000"/>
              </w:rPr>
              <w:t xml:space="preserve"> </w:t>
            </w:r>
          </w:p>
          <w:p w14:paraId="31E3F293">
            <w:pPr>
              <w:pStyle w:val="279"/>
              <w:rPr>
                <w:rFonts w:ascii="宋体" w:hAnsi="宋体" w:cs="宋体"/>
                <w:color w:val="000000"/>
              </w:rPr>
            </w:pPr>
            <w:r>
              <w:rPr>
                <w:rFonts w:hint="eastAsia" w:eastAsia="宋体"/>
              </w:rPr>
              <w:t>筒形摄像机：</w:t>
            </w:r>
            <w:r>
              <w:rPr>
                <w:rFonts w:hint="eastAsia" w:ascii="宋体" w:hAnsi="宋体" w:cs="宋体"/>
                <w:color w:val="000000"/>
              </w:rPr>
              <w:t>热成像像素</w:t>
            </w:r>
            <w:r>
              <w:rPr>
                <w:rFonts w:ascii="宋体" w:hAnsi="宋体" w:cs="宋体"/>
                <w:color w:val="000000"/>
              </w:rPr>
              <w:t xml:space="preserve">160 </w:t>
            </w:r>
            <w:r>
              <w:rPr>
                <w:rFonts w:hint="eastAsia" w:ascii="宋体" w:hAnsi="宋体" w:cs="宋体"/>
                <w:color w:val="000000"/>
              </w:rPr>
              <w:t>×</w:t>
            </w:r>
            <w:r>
              <w:rPr>
                <w:rFonts w:ascii="宋体" w:hAnsi="宋体" w:cs="宋体"/>
                <w:color w:val="000000"/>
              </w:rPr>
              <w:t xml:space="preserve"> 120</w:t>
            </w:r>
            <w:r>
              <w:rPr>
                <w:rFonts w:hint="eastAsia" w:ascii="宋体" w:hAnsi="宋体" w:cs="宋体"/>
                <w:color w:val="000000"/>
              </w:rPr>
              <w:t>，像元大小</w:t>
            </w:r>
            <w:r>
              <w:rPr>
                <w:rFonts w:ascii="宋体" w:hAnsi="宋体" w:cs="宋体"/>
                <w:color w:val="000000"/>
              </w:rPr>
              <w:t>17um</w:t>
            </w:r>
            <w:r>
              <w:rPr>
                <w:rFonts w:hint="eastAsia" w:ascii="宋体" w:hAnsi="宋体" w:cs="宋体"/>
                <w:color w:val="000000"/>
              </w:rPr>
              <w:t>，</w:t>
            </w:r>
            <w:r>
              <w:rPr>
                <w:rFonts w:ascii="宋体" w:hAnsi="宋体" w:cs="宋体"/>
                <w:color w:val="000000"/>
              </w:rPr>
              <w:t>NETD &lt; 40 mK (25</w:t>
            </w:r>
            <w:r>
              <w:rPr>
                <w:rFonts w:hint="eastAsia" w:ascii="宋体" w:hAnsi="宋体" w:cs="宋体"/>
                <w:color w:val="000000"/>
              </w:rPr>
              <w:t>°</w:t>
            </w:r>
            <w:r>
              <w:rPr>
                <w:rFonts w:ascii="宋体" w:hAnsi="宋体" w:cs="宋体"/>
                <w:color w:val="000000"/>
              </w:rPr>
              <w:t>C, F1.0)</w:t>
            </w:r>
            <w:r>
              <w:rPr>
                <w:rFonts w:hint="eastAsia" w:ascii="宋体" w:hAnsi="宋体" w:eastAsia="宋体" w:cs="宋体"/>
                <w:color w:val="000000"/>
              </w:rPr>
              <w:t>。</w:t>
            </w:r>
          </w:p>
          <w:p w14:paraId="134F4F0C">
            <w:pPr>
              <w:pStyle w:val="279"/>
              <w:rPr>
                <w:rFonts w:ascii="宋体" w:hAnsi="宋体" w:cs="宋体" w:eastAsiaTheme="minorEastAsia"/>
                <w:color w:val="000000"/>
              </w:rPr>
            </w:pPr>
            <w:r>
              <w:rPr>
                <w:rFonts w:hint="eastAsia" w:ascii="宋体" w:hAnsi="宋体" w:cs="宋体"/>
                <w:color w:val="000000"/>
              </w:rPr>
              <w:t>支持区域入侵探测、越界探测、进入区域探测、离开区域探测、音频异常探测、高温物体检测等功能</w:t>
            </w:r>
            <w:r>
              <w:rPr>
                <w:rFonts w:hint="eastAsia" w:ascii="宋体" w:hAnsi="宋体" w:eastAsia="宋体" w:cs="宋体"/>
                <w:color w:val="000000"/>
              </w:rPr>
              <w:t>。</w:t>
            </w:r>
          </w:p>
          <w:p w14:paraId="74729855">
            <w:pPr>
              <w:pStyle w:val="279"/>
              <w:rPr>
                <w:rFonts w:ascii="宋体" w:hAnsi="宋体" w:cs="宋体"/>
                <w:color w:val="000000"/>
              </w:rPr>
            </w:pPr>
            <w:r>
              <w:rPr>
                <w:rFonts w:hint="eastAsia" w:ascii="宋体" w:hAnsi="宋体" w:cs="宋体"/>
                <w:color w:val="000000"/>
              </w:rPr>
              <w:t>支持测温功能</w:t>
            </w:r>
            <w:r>
              <w:rPr>
                <w:rFonts w:ascii="宋体" w:hAnsi="宋体" w:cs="宋体"/>
                <w:color w:val="000000"/>
              </w:rPr>
              <w:t>:</w:t>
            </w:r>
            <w:r>
              <w:rPr>
                <w:rFonts w:hint="eastAsia" w:ascii="宋体" w:hAnsi="宋体" w:cs="宋体"/>
                <w:color w:val="000000"/>
              </w:rPr>
              <w:t>支持普通测温，专家测温检测；可以画最多</w:t>
            </w:r>
            <w:r>
              <w:rPr>
                <w:rFonts w:ascii="宋体" w:hAnsi="宋体" w:cs="宋体"/>
                <w:color w:val="000000"/>
              </w:rPr>
              <w:t>10</w:t>
            </w:r>
            <w:r>
              <w:rPr>
                <w:rFonts w:hint="eastAsia" w:ascii="宋体" w:hAnsi="宋体" w:cs="宋体"/>
                <w:color w:val="000000"/>
              </w:rPr>
              <w:t>个点，</w:t>
            </w:r>
            <w:r>
              <w:rPr>
                <w:rFonts w:ascii="宋体" w:hAnsi="宋体" w:cs="宋体"/>
                <w:color w:val="000000"/>
              </w:rPr>
              <w:t>1</w:t>
            </w:r>
            <w:r>
              <w:rPr>
                <w:rFonts w:hint="eastAsia" w:ascii="宋体" w:hAnsi="宋体" w:cs="宋体"/>
                <w:color w:val="000000"/>
              </w:rPr>
              <w:t>条线，</w:t>
            </w:r>
            <w:r>
              <w:rPr>
                <w:rFonts w:ascii="宋体" w:hAnsi="宋体" w:cs="宋体"/>
                <w:color w:val="000000"/>
              </w:rPr>
              <w:t>10</w:t>
            </w:r>
            <w:r>
              <w:rPr>
                <w:rFonts w:hint="eastAsia" w:ascii="宋体" w:hAnsi="宋体" w:cs="宋体"/>
                <w:color w:val="000000"/>
              </w:rPr>
              <w:t>个区域检测。</w:t>
            </w:r>
          </w:p>
          <w:p w14:paraId="06B999C6">
            <w:pPr>
              <w:pStyle w:val="279"/>
              <w:rPr>
                <w:rFonts w:ascii="宋体" w:hAnsi="宋体" w:cs="宋体"/>
                <w:color w:val="000000"/>
              </w:rPr>
            </w:pPr>
            <w:r>
              <w:rPr>
                <w:rFonts w:hint="eastAsia" w:ascii="宋体" w:hAnsi="宋体" w:cs="宋体"/>
                <w:color w:val="000000"/>
              </w:rPr>
              <w:t>支持吸烟检测、测温防火检测、烟雾检测</w:t>
            </w:r>
            <w:r>
              <w:rPr>
                <w:rFonts w:hint="eastAsia" w:ascii="宋体" w:hAnsi="宋体" w:eastAsia="宋体" w:cs="宋体"/>
                <w:color w:val="000000"/>
              </w:rPr>
              <w:t>。</w:t>
            </w:r>
          </w:p>
          <w:p w14:paraId="63D5E2CD">
            <w:pPr>
              <w:pStyle w:val="279"/>
              <w:rPr>
                <w:rFonts w:ascii="宋体" w:hAnsi="宋体" w:cs="宋体"/>
                <w:color w:val="000000"/>
              </w:rPr>
            </w:pPr>
            <w:r>
              <w:rPr>
                <w:rFonts w:hint="eastAsia" w:ascii="宋体" w:hAnsi="宋体" w:cs="宋体"/>
                <w:color w:val="000000"/>
              </w:rPr>
              <w:t>智能功能资源配置：测温、周界功能支持同时开启。测温、测温防火检测、烟雾检测支持同时开启。测温、火点检测、</w:t>
            </w:r>
            <w:r>
              <w:rPr>
                <w:rFonts w:ascii="宋体" w:hAnsi="宋体" w:cs="宋体"/>
                <w:color w:val="000000"/>
              </w:rPr>
              <w:t>AI</w:t>
            </w:r>
            <w:r>
              <w:rPr>
                <w:rFonts w:hint="eastAsia" w:ascii="宋体" w:hAnsi="宋体" w:cs="宋体"/>
                <w:color w:val="000000"/>
              </w:rPr>
              <w:t>开放平台支持同时开启。周界功能不支持与火点、吸烟、烟雾检测两两同时开启。</w:t>
            </w:r>
          </w:p>
          <w:p w14:paraId="6C4C0936">
            <w:pPr>
              <w:pStyle w:val="279"/>
              <w:rPr>
                <w:rFonts w:ascii="宋体" w:hAnsi="宋体" w:cs="宋体"/>
                <w:color w:val="000000"/>
              </w:rPr>
            </w:pPr>
            <w:r>
              <w:rPr>
                <w:rFonts w:hint="eastAsia" w:ascii="宋体" w:hAnsi="宋体" w:cs="宋体"/>
                <w:color w:val="000000"/>
              </w:rPr>
              <w:t>支持联动白光报警、支持联动声音报警，内置白光灯和扬声器</w:t>
            </w:r>
            <w:r>
              <w:rPr>
                <w:rFonts w:hint="eastAsia" w:ascii="宋体" w:hAnsi="宋体" w:eastAsia="宋体" w:cs="宋体"/>
                <w:color w:val="000000"/>
              </w:rPr>
              <w:t>。</w:t>
            </w:r>
          </w:p>
          <w:p w14:paraId="58292B4A">
            <w:pPr>
              <w:pStyle w:val="279"/>
              <w:rPr>
                <w:rFonts w:ascii="宋体" w:hAnsi="宋体" w:cs="宋体"/>
                <w:color w:val="000000"/>
              </w:rPr>
            </w:pPr>
            <w:r>
              <w:rPr>
                <w:rFonts w:hint="eastAsia" w:ascii="宋体" w:hAnsi="宋体" w:cs="宋体"/>
                <w:color w:val="000000"/>
              </w:rPr>
              <w:t>【硬件特性】</w:t>
            </w:r>
          </w:p>
          <w:p w14:paraId="79302E58">
            <w:pPr>
              <w:pStyle w:val="279"/>
              <w:rPr>
                <w:rFonts w:ascii="宋体" w:hAnsi="宋体" w:cs="宋体"/>
                <w:color w:val="000000"/>
              </w:rPr>
            </w:pPr>
            <w:r>
              <w:rPr>
                <w:rFonts w:hint="eastAsia" w:ascii="宋体" w:hAnsi="宋体" w:cs="宋体"/>
                <w:color w:val="000000"/>
              </w:rPr>
              <w:t>热成像传感器类型：氧化钒非制冷型探测器</w:t>
            </w:r>
          </w:p>
          <w:p w14:paraId="29E33662">
            <w:pPr>
              <w:pStyle w:val="279"/>
              <w:rPr>
                <w:rFonts w:ascii="宋体" w:hAnsi="宋体" w:cs="宋体"/>
                <w:color w:val="000000"/>
              </w:rPr>
            </w:pPr>
            <w:r>
              <w:rPr>
                <w:rFonts w:hint="eastAsia" w:ascii="宋体" w:hAnsi="宋体" w:cs="宋体"/>
                <w:color w:val="000000"/>
              </w:rPr>
              <w:t>测温范围：测温范围：</w:t>
            </w:r>
            <w:r>
              <w:rPr>
                <w:rFonts w:ascii="宋体" w:hAnsi="宋体" w:cs="宋体"/>
                <w:color w:val="000000"/>
              </w:rPr>
              <w:t>-20</w:t>
            </w:r>
            <w:r>
              <w:rPr>
                <w:rFonts w:hint="eastAsia" w:ascii="宋体" w:hAnsi="宋体" w:cs="宋体"/>
                <w:color w:val="000000"/>
              </w:rPr>
              <w:t>℃</w:t>
            </w:r>
            <w:r>
              <w:rPr>
                <w:rFonts w:ascii="宋体" w:hAnsi="宋体" w:cs="宋体"/>
                <w:color w:val="000000"/>
              </w:rPr>
              <w:t>~150</w:t>
            </w:r>
            <w:r>
              <w:rPr>
                <w:rFonts w:hint="eastAsia" w:ascii="宋体" w:hAnsi="宋体" w:cs="宋体"/>
                <w:color w:val="000000"/>
              </w:rPr>
              <w:t>℃</w:t>
            </w:r>
          </w:p>
          <w:p w14:paraId="62EAA536">
            <w:pPr>
              <w:pStyle w:val="279"/>
              <w:rPr>
                <w:rFonts w:ascii="宋体" w:hAnsi="宋体" w:cs="宋体"/>
                <w:color w:val="000000"/>
              </w:rPr>
            </w:pPr>
            <w:r>
              <w:rPr>
                <w:rFonts w:hint="eastAsia" w:ascii="宋体" w:hAnsi="宋体" w:cs="宋体"/>
                <w:color w:val="000000"/>
              </w:rPr>
              <w:t>测温精度：测温精度：±</w:t>
            </w:r>
            <w:r>
              <w:rPr>
                <w:rFonts w:ascii="宋体" w:hAnsi="宋体" w:cs="宋体"/>
                <w:color w:val="000000"/>
              </w:rPr>
              <w:t>8</w:t>
            </w:r>
            <w:r>
              <w:rPr>
                <w:rFonts w:hint="eastAsia" w:ascii="宋体" w:hAnsi="宋体" w:cs="宋体"/>
                <w:color w:val="000000"/>
              </w:rPr>
              <w:t>℃或者读数的±</w:t>
            </w:r>
            <w:r>
              <w:rPr>
                <w:rFonts w:ascii="宋体" w:hAnsi="宋体" w:cs="宋体"/>
                <w:color w:val="000000"/>
              </w:rPr>
              <w:t>8%</w:t>
            </w:r>
            <w:r>
              <w:rPr>
                <w:rFonts w:hint="eastAsia" w:ascii="宋体" w:hAnsi="宋体" w:cs="宋体"/>
                <w:color w:val="000000"/>
              </w:rPr>
              <w:t>（取最大值）</w:t>
            </w:r>
          </w:p>
          <w:p w14:paraId="0D3FC752">
            <w:pPr>
              <w:pStyle w:val="279"/>
              <w:rPr>
                <w:rFonts w:ascii="宋体" w:hAnsi="宋体" w:cs="宋体"/>
                <w:color w:val="000000"/>
              </w:rPr>
            </w:pPr>
            <w:r>
              <w:rPr>
                <w:rFonts w:hint="eastAsia" w:ascii="宋体" w:hAnsi="宋体" w:cs="宋体"/>
                <w:color w:val="000000"/>
              </w:rPr>
              <w:t>人员最远报警距离（以</w:t>
            </w:r>
            <w:r>
              <w:rPr>
                <w:rFonts w:ascii="宋体" w:hAnsi="宋体" w:cs="宋体"/>
                <w:color w:val="000000"/>
              </w:rPr>
              <w:t>1.8</w:t>
            </w:r>
            <w:r>
              <w:rPr>
                <w:rFonts w:hint="eastAsia" w:ascii="宋体" w:hAnsi="宋体" w:cs="宋体"/>
                <w:color w:val="000000"/>
              </w:rPr>
              <w:t>米</w:t>
            </w:r>
            <w:r>
              <w:rPr>
                <w:rFonts w:ascii="宋体" w:hAnsi="宋体" w:cs="宋体"/>
                <w:color w:val="000000"/>
              </w:rPr>
              <w:t>*0.5</w:t>
            </w:r>
            <w:r>
              <w:rPr>
                <w:rFonts w:hint="eastAsia" w:ascii="宋体" w:hAnsi="宋体" w:cs="宋体"/>
                <w:color w:val="000000"/>
              </w:rPr>
              <w:t>米为准）</w:t>
            </w:r>
            <w:r>
              <w:rPr>
                <w:rFonts w:ascii="宋体" w:hAnsi="宋体" w:eastAsia="宋体" w:cs="宋体"/>
                <w:color w:val="000000"/>
              </w:rPr>
              <w:t>≥</w:t>
            </w:r>
            <w:r>
              <w:rPr>
                <w:rFonts w:ascii="宋体" w:hAnsi="宋体" w:cs="宋体"/>
                <w:color w:val="000000"/>
              </w:rPr>
              <w:t>21m</w:t>
            </w:r>
          </w:p>
          <w:p w14:paraId="5737F2E5">
            <w:pPr>
              <w:pStyle w:val="279"/>
              <w:rPr>
                <w:rFonts w:ascii="宋体" w:hAnsi="宋体" w:cs="宋体"/>
                <w:color w:val="000000"/>
              </w:rPr>
            </w:pPr>
            <w:r>
              <w:rPr>
                <w:rFonts w:hint="eastAsia" w:ascii="宋体" w:hAnsi="宋体" w:cs="宋体"/>
                <w:color w:val="000000"/>
              </w:rPr>
              <w:t>车辆最远报警距离（以</w:t>
            </w:r>
            <w:r>
              <w:rPr>
                <w:rFonts w:ascii="宋体" w:hAnsi="宋体" w:cs="宋体"/>
                <w:color w:val="000000"/>
              </w:rPr>
              <w:t>4</w:t>
            </w:r>
            <w:r>
              <w:rPr>
                <w:rFonts w:hint="eastAsia" w:ascii="宋体" w:hAnsi="宋体" w:cs="宋体"/>
                <w:color w:val="000000"/>
              </w:rPr>
              <w:t>米</w:t>
            </w:r>
            <w:r>
              <w:rPr>
                <w:rFonts w:ascii="宋体" w:hAnsi="宋体" w:cs="宋体"/>
                <w:color w:val="000000"/>
              </w:rPr>
              <w:t>*1.4</w:t>
            </w:r>
            <w:r>
              <w:rPr>
                <w:rFonts w:hint="eastAsia" w:ascii="宋体" w:hAnsi="宋体" w:cs="宋体"/>
                <w:color w:val="000000"/>
              </w:rPr>
              <w:t>米为准）</w:t>
            </w:r>
            <w:r>
              <w:rPr>
                <w:rFonts w:ascii="宋体" w:hAnsi="宋体" w:eastAsia="宋体" w:cs="宋体"/>
                <w:color w:val="000000"/>
              </w:rPr>
              <w:t>≥</w:t>
            </w:r>
            <w:r>
              <w:rPr>
                <w:rFonts w:ascii="宋体" w:hAnsi="宋体" w:cs="宋体"/>
                <w:color w:val="000000"/>
              </w:rPr>
              <w:t>63m</w:t>
            </w:r>
          </w:p>
          <w:p w14:paraId="5C679AC9">
            <w:pPr>
              <w:pStyle w:val="279"/>
              <w:rPr>
                <w:rFonts w:ascii="宋体" w:hAnsi="宋体" w:cs="宋体"/>
                <w:color w:val="000000"/>
              </w:rPr>
            </w:pPr>
            <w:r>
              <w:rPr>
                <w:rFonts w:hint="eastAsia" w:ascii="宋体" w:hAnsi="宋体" w:cs="宋体"/>
                <w:color w:val="000000"/>
              </w:rPr>
              <w:t>吸烟检测最远报警距离</w:t>
            </w:r>
            <w:r>
              <w:rPr>
                <w:rFonts w:ascii="宋体" w:hAnsi="宋体" w:eastAsia="宋体" w:cs="宋体"/>
                <w:color w:val="000000"/>
              </w:rPr>
              <w:t>≥</w:t>
            </w:r>
            <w:r>
              <w:rPr>
                <w:rFonts w:ascii="宋体" w:hAnsi="宋体" w:cs="宋体"/>
                <w:color w:val="000000"/>
              </w:rPr>
              <w:t>3m</w:t>
            </w:r>
          </w:p>
          <w:p w14:paraId="3457E643">
            <w:pPr>
              <w:pStyle w:val="279"/>
              <w:rPr>
                <w:rFonts w:ascii="宋体" w:hAnsi="宋体" w:cs="宋体"/>
                <w:color w:val="000000"/>
              </w:rPr>
            </w:pPr>
            <w:r>
              <w:rPr>
                <w:rFonts w:hint="eastAsia" w:ascii="宋体" w:hAnsi="宋体" w:cs="宋体"/>
                <w:color w:val="000000"/>
              </w:rPr>
              <w:t>防火最远报警距离（以</w:t>
            </w:r>
            <w:r>
              <w:rPr>
                <w:rFonts w:ascii="宋体" w:hAnsi="宋体" w:cs="宋体"/>
                <w:color w:val="000000"/>
              </w:rPr>
              <w:t>0.05</w:t>
            </w:r>
            <w:r>
              <w:rPr>
                <w:rFonts w:hint="eastAsia" w:ascii="宋体" w:hAnsi="宋体" w:cs="宋体"/>
                <w:color w:val="000000"/>
              </w:rPr>
              <w:t>㎡高温源或</w:t>
            </w:r>
            <w:r>
              <w:rPr>
                <w:rFonts w:ascii="宋体" w:hAnsi="宋体" w:cs="宋体"/>
                <w:color w:val="000000"/>
              </w:rPr>
              <w:t>0.1</w:t>
            </w:r>
            <w:r>
              <w:rPr>
                <w:rFonts w:hint="eastAsia" w:ascii="宋体" w:hAnsi="宋体" w:cs="宋体"/>
                <w:color w:val="000000"/>
              </w:rPr>
              <w:t>㎡火焰为准）</w:t>
            </w:r>
            <w:r>
              <w:rPr>
                <w:rFonts w:ascii="宋体" w:hAnsi="宋体" w:eastAsia="宋体" w:cs="宋体"/>
                <w:color w:val="000000"/>
              </w:rPr>
              <w:t>≥</w:t>
            </w:r>
            <w:r>
              <w:rPr>
                <w:rFonts w:ascii="宋体" w:hAnsi="宋体" w:cs="宋体"/>
                <w:color w:val="000000"/>
              </w:rPr>
              <w:t>24m</w:t>
            </w:r>
          </w:p>
          <w:p w14:paraId="0A562307">
            <w:pPr>
              <w:pStyle w:val="279"/>
              <w:rPr>
                <w:rFonts w:ascii="宋体" w:hAnsi="宋体" w:cs="宋体"/>
                <w:color w:val="000000"/>
              </w:rPr>
            </w:pPr>
            <w:r>
              <w:rPr>
                <w:rFonts w:hint="eastAsia" w:ascii="宋体" w:hAnsi="宋体" w:cs="宋体"/>
                <w:color w:val="000000"/>
              </w:rPr>
              <w:t>最远测温距离（满足测温精度，以</w:t>
            </w:r>
            <w:r>
              <w:rPr>
                <w:rFonts w:ascii="宋体" w:hAnsi="宋体" w:cs="宋体"/>
                <w:color w:val="000000"/>
              </w:rPr>
              <w:t>0.1m*0.1m</w:t>
            </w:r>
            <w:r>
              <w:rPr>
                <w:rFonts w:hint="eastAsia" w:ascii="宋体" w:hAnsi="宋体" w:cs="宋体"/>
                <w:color w:val="000000"/>
              </w:rPr>
              <w:t>目标物为准）</w:t>
            </w:r>
            <w:r>
              <w:rPr>
                <w:rFonts w:ascii="宋体" w:hAnsi="宋体" w:eastAsia="宋体" w:cs="宋体"/>
                <w:color w:val="000000"/>
              </w:rPr>
              <w:t>≥</w:t>
            </w:r>
            <w:r>
              <w:rPr>
                <w:rFonts w:ascii="宋体" w:hAnsi="宋体" w:cs="宋体"/>
                <w:color w:val="000000"/>
              </w:rPr>
              <w:t xml:space="preserve">3.3 </w:t>
            </w:r>
          </w:p>
          <w:p w14:paraId="62CE41C3">
            <w:pPr>
              <w:pStyle w:val="279"/>
              <w:rPr>
                <w:rFonts w:ascii="宋体" w:hAnsi="宋体" w:cs="宋体"/>
                <w:color w:val="000000"/>
              </w:rPr>
            </w:pPr>
            <w:r>
              <w:rPr>
                <w:rFonts w:hint="eastAsia" w:ascii="宋体" w:hAnsi="宋体" w:cs="宋体"/>
                <w:color w:val="000000"/>
              </w:rPr>
              <w:t>可见光传感器类型：</w:t>
            </w:r>
            <w:r>
              <w:rPr>
                <w:rFonts w:ascii="宋体" w:hAnsi="宋体" w:cs="宋体"/>
                <w:color w:val="000000"/>
              </w:rPr>
              <w:t>400</w:t>
            </w:r>
            <w:r>
              <w:rPr>
                <w:rFonts w:hint="eastAsia" w:ascii="宋体" w:hAnsi="宋体" w:cs="宋体"/>
                <w:color w:val="000000"/>
              </w:rPr>
              <w:t>万星光级</w:t>
            </w:r>
            <w:r>
              <w:rPr>
                <w:rFonts w:ascii="宋体" w:hAnsi="宋体" w:cs="宋体"/>
                <w:color w:val="000000"/>
              </w:rPr>
              <w:t>1/2.7" Progressive Scan CMOS</w:t>
            </w:r>
          </w:p>
          <w:p w14:paraId="43C9082E">
            <w:pPr>
              <w:pStyle w:val="279"/>
              <w:rPr>
                <w:rFonts w:ascii="宋体" w:hAnsi="宋体" w:cs="宋体"/>
                <w:color w:val="000000"/>
              </w:rPr>
            </w:pPr>
            <w:r>
              <w:rPr>
                <w:rFonts w:hint="eastAsia" w:ascii="宋体" w:hAnsi="宋体" w:cs="宋体"/>
                <w:color w:val="000000"/>
              </w:rPr>
              <w:t>烟雾最远报警距离（以</w:t>
            </w:r>
            <w:r>
              <w:rPr>
                <w:rFonts w:ascii="宋体" w:hAnsi="宋体" w:cs="宋体"/>
                <w:color w:val="000000"/>
              </w:rPr>
              <w:t>1</w:t>
            </w:r>
            <w:r>
              <w:rPr>
                <w:rFonts w:hint="eastAsia" w:ascii="宋体" w:hAnsi="宋体" w:cs="宋体"/>
                <w:color w:val="000000"/>
              </w:rPr>
              <w:t>㎡为准）</w:t>
            </w:r>
            <w:r>
              <w:rPr>
                <w:rFonts w:ascii="宋体" w:hAnsi="宋体" w:eastAsia="宋体" w:cs="宋体"/>
                <w:color w:val="000000"/>
              </w:rPr>
              <w:t>≥</w:t>
            </w:r>
            <w:r>
              <w:rPr>
                <w:rFonts w:ascii="宋体" w:hAnsi="宋体" w:cs="宋体"/>
                <w:color w:val="000000"/>
              </w:rPr>
              <w:t>24m</w:t>
            </w:r>
          </w:p>
          <w:p w14:paraId="29209D0C">
            <w:pPr>
              <w:pStyle w:val="279"/>
              <w:rPr>
                <w:rFonts w:ascii="宋体" w:hAnsi="宋体" w:cs="宋体"/>
                <w:color w:val="000000"/>
              </w:rPr>
            </w:pPr>
            <w:r>
              <w:rPr>
                <w:rFonts w:hint="eastAsia" w:ascii="宋体" w:hAnsi="宋体" w:cs="宋体"/>
                <w:color w:val="000000"/>
              </w:rPr>
              <w:t>最低照度：</w:t>
            </w:r>
            <w:r>
              <w:rPr>
                <w:rFonts w:ascii="宋体" w:hAnsi="宋体" w:cs="宋体"/>
                <w:color w:val="000000"/>
              </w:rPr>
              <w:t>0.005Lux @(F1.2,AGC ON) ,0 Lux with IR</w:t>
            </w:r>
          </w:p>
          <w:p w14:paraId="2D1BA0F4">
            <w:pPr>
              <w:pStyle w:val="279"/>
              <w:rPr>
                <w:rFonts w:ascii="宋体" w:hAnsi="宋体" w:cs="宋体"/>
                <w:color w:val="000000"/>
              </w:rPr>
            </w:pPr>
            <w:r>
              <w:rPr>
                <w:rFonts w:hint="eastAsia" w:ascii="宋体" w:hAnsi="宋体" w:cs="宋体"/>
                <w:color w:val="000000"/>
              </w:rPr>
              <w:t>可见光补光功能：红外补光最远可达</w:t>
            </w:r>
            <w:r>
              <w:rPr>
                <w:rFonts w:ascii="宋体" w:hAnsi="宋体" w:cs="宋体"/>
                <w:color w:val="000000"/>
              </w:rPr>
              <w:t>30</w:t>
            </w:r>
            <w:r>
              <w:rPr>
                <w:rFonts w:hint="eastAsia" w:ascii="宋体" w:hAnsi="宋体" w:cs="宋体"/>
                <w:color w:val="000000"/>
              </w:rPr>
              <w:t>米</w:t>
            </w:r>
          </w:p>
          <w:p w14:paraId="28B444D2">
            <w:pPr>
              <w:pStyle w:val="279"/>
              <w:rPr>
                <w:rFonts w:ascii="宋体" w:hAnsi="宋体" w:cs="宋体"/>
                <w:color w:val="000000"/>
              </w:rPr>
            </w:pPr>
            <w:r>
              <w:rPr>
                <w:rFonts w:hint="eastAsia" w:ascii="宋体" w:hAnsi="宋体" w:cs="宋体"/>
                <w:color w:val="000000"/>
              </w:rPr>
              <w:t>智能信息叠加：支持可见光通道图像中叠加热成像信息（仅支持测温规则，测温值）</w:t>
            </w:r>
            <w:r>
              <w:rPr>
                <w:rFonts w:ascii="宋体" w:hAnsi="宋体" w:cs="宋体"/>
                <w:color w:val="000000"/>
              </w:rPr>
              <w:t xml:space="preserve"> </w:t>
            </w:r>
          </w:p>
          <w:p w14:paraId="7A368F52">
            <w:pPr>
              <w:pStyle w:val="279"/>
              <w:rPr>
                <w:rFonts w:ascii="宋体" w:hAnsi="宋体" w:cs="宋体"/>
                <w:color w:val="000000"/>
              </w:rPr>
            </w:pPr>
            <w:r>
              <w:rPr>
                <w:rFonts w:hint="eastAsia" w:ascii="宋体" w:hAnsi="宋体" w:cs="宋体"/>
                <w:color w:val="000000"/>
              </w:rPr>
              <w:t>报警联动：</w:t>
            </w:r>
            <w:r>
              <w:rPr>
                <w:rFonts w:ascii="宋体" w:hAnsi="宋体" w:cs="宋体"/>
                <w:color w:val="000000"/>
              </w:rPr>
              <w:t>1</w:t>
            </w:r>
            <w:r>
              <w:rPr>
                <w:rFonts w:hint="eastAsia" w:ascii="宋体" w:hAnsi="宋体" w:cs="宋体"/>
                <w:color w:val="000000"/>
              </w:rPr>
              <w:t>个内置白光灯、</w:t>
            </w:r>
            <w:r>
              <w:rPr>
                <w:rFonts w:ascii="宋体" w:hAnsi="宋体" w:cs="宋体"/>
                <w:color w:val="000000"/>
              </w:rPr>
              <w:t>1</w:t>
            </w:r>
            <w:r>
              <w:rPr>
                <w:rFonts w:hint="eastAsia" w:ascii="宋体" w:hAnsi="宋体" w:cs="宋体"/>
                <w:color w:val="000000"/>
              </w:rPr>
              <w:t>个内置扬声器，支持联动白光报警、支持联动声音报警</w:t>
            </w:r>
          </w:p>
          <w:p w14:paraId="00536235">
            <w:pPr>
              <w:pStyle w:val="279"/>
              <w:rPr>
                <w:rFonts w:hint="eastAsia" w:ascii="宋体" w:hAnsi="宋体" w:cs="宋体"/>
                <w:color w:val="000000"/>
              </w:rPr>
            </w:pPr>
            <w:r>
              <w:rPr>
                <w:rFonts w:hint="eastAsia" w:ascii="宋体" w:hAnsi="宋体" w:cs="宋体"/>
                <w:color w:val="000000"/>
              </w:rPr>
              <w:t>▲高温</w:t>
            </w:r>
            <w:r>
              <w:rPr>
                <w:rFonts w:hint="eastAsia" w:ascii="宋体" w:hAnsi="宋体" w:cs="宋体"/>
                <w:color w:val="000000"/>
                <w:lang w:val="en-US" w:eastAsia="zh-CN"/>
              </w:rPr>
              <w:t>工作环境要求</w:t>
            </w:r>
            <w:r>
              <w:rPr>
                <w:rFonts w:hint="eastAsia" w:ascii="宋体" w:hAnsi="宋体" w:cs="宋体"/>
                <w:color w:val="000000"/>
              </w:rPr>
              <w:t>：</w:t>
            </w:r>
            <w:r>
              <w:rPr>
                <w:rFonts w:hint="eastAsia" w:ascii="宋体" w:hAnsi="宋体" w:cs="宋体"/>
                <w:color w:val="000000"/>
                <w:lang w:val="en-US" w:eastAsia="zh-CN"/>
              </w:rPr>
              <w:t>能够在</w:t>
            </w:r>
            <w:r>
              <w:rPr>
                <w:rFonts w:hint="eastAsia" w:ascii="宋体" w:hAnsi="宋体" w:cs="宋体"/>
                <w:color w:val="000000"/>
              </w:rPr>
              <w:t>温度85±3℃，持续时间2h，</w:t>
            </w:r>
            <w:r>
              <w:rPr>
                <w:rFonts w:hint="eastAsia" w:ascii="宋体" w:hAnsi="宋体" w:cs="宋体"/>
                <w:color w:val="000000"/>
                <w:lang w:val="en-US" w:eastAsia="zh-CN"/>
              </w:rPr>
              <w:t>设备能</w:t>
            </w:r>
            <w:r>
              <w:rPr>
                <w:rFonts w:hint="eastAsia" w:ascii="宋体" w:hAnsi="宋体" w:cs="宋体"/>
                <w:color w:val="000000"/>
              </w:rPr>
              <w:t>处于</w:t>
            </w:r>
            <w:r>
              <w:rPr>
                <w:rFonts w:hint="eastAsia" w:ascii="宋体" w:hAnsi="宋体" w:cs="宋体"/>
                <w:color w:val="000000"/>
                <w:lang w:val="en-US" w:eastAsia="zh-CN"/>
              </w:rPr>
              <w:t>正常</w:t>
            </w:r>
            <w:r>
              <w:rPr>
                <w:rFonts w:hint="eastAsia" w:ascii="宋体" w:hAnsi="宋体" w:cs="宋体"/>
                <w:color w:val="000000"/>
              </w:rPr>
              <w:t>工作状态，</w:t>
            </w:r>
            <w:r>
              <w:rPr>
                <w:rFonts w:hint="eastAsia" w:ascii="宋体" w:hAnsi="宋体" w:cs="宋体"/>
                <w:color w:val="000000"/>
                <w:lang w:val="en-US" w:eastAsia="zh-CN"/>
              </w:rPr>
              <w:t>高温环境结束</w:t>
            </w:r>
            <w:r>
              <w:rPr>
                <w:rFonts w:hint="eastAsia" w:ascii="宋体" w:hAnsi="宋体" w:cs="宋体"/>
                <w:color w:val="000000"/>
              </w:rPr>
              <w:t>后</w:t>
            </w:r>
            <w:r>
              <w:rPr>
                <w:rFonts w:hint="eastAsia" w:ascii="宋体" w:hAnsi="宋体" w:cs="宋体"/>
                <w:color w:val="000000"/>
                <w:lang w:val="en-US" w:eastAsia="zh-CN"/>
              </w:rPr>
              <w:t>设备也</w:t>
            </w:r>
            <w:r>
              <w:rPr>
                <w:rFonts w:hint="eastAsia" w:ascii="宋体" w:hAnsi="宋体" w:cs="宋体"/>
                <w:color w:val="000000"/>
              </w:rPr>
              <w:t>应能正常工作</w:t>
            </w:r>
            <w:r>
              <w:rPr>
                <w:rFonts w:hint="eastAsia" w:ascii="宋体" w:hAnsi="宋体" w:cs="宋体"/>
                <w:color w:val="000000"/>
                <w:lang w:eastAsia="zh-CN"/>
              </w:rPr>
              <w:t>。</w:t>
            </w:r>
            <w:r>
              <w:rPr>
                <w:rFonts w:hint="eastAsia" w:ascii="宋体" w:hAnsi="宋体" w:cs="宋体"/>
                <w:color w:val="000000"/>
              </w:rPr>
              <w:t>低温</w:t>
            </w:r>
            <w:r>
              <w:rPr>
                <w:rFonts w:hint="eastAsia" w:ascii="宋体" w:hAnsi="宋体" w:cs="宋体"/>
                <w:color w:val="000000"/>
                <w:lang w:val="en-US" w:eastAsia="zh-CN"/>
              </w:rPr>
              <w:t>工作环境邀请</w:t>
            </w:r>
            <w:r>
              <w:rPr>
                <w:rFonts w:hint="eastAsia" w:ascii="宋体" w:hAnsi="宋体" w:cs="宋体"/>
                <w:color w:val="000000"/>
              </w:rPr>
              <w:t>：</w:t>
            </w:r>
            <w:r>
              <w:rPr>
                <w:rFonts w:hint="eastAsia" w:ascii="宋体" w:hAnsi="宋体" w:cs="宋体"/>
                <w:color w:val="000000"/>
                <w:lang w:val="en-US" w:eastAsia="zh-CN"/>
              </w:rPr>
              <w:t>能够在</w:t>
            </w:r>
            <w:r>
              <w:rPr>
                <w:rFonts w:hint="eastAsia" w:ascii="宋体" w:hAnsi="宋体" w:cs="宋体"/>
                <w:color w:val="000000"/>
              </w:rPr>
              <w:t>温度-60±3℃，持续时间2h，</w:t>
            </w:r>
            <w:r>
              <w:rPr>
                <w:rFonts w:hint="eastAsia" w:ascii="宋体" w:hAnsi="宋体" w:cs="宋体"/>
                <w:color w:val="000000"/>
                <w:lang w:val="en-US" w:eastAsia="zh-CN"/>
              </w:rPr>
              <w:t>设备能</w:t>
            </w:r>
            <w:r>
              <w:rPr>
                <w:rFonts w:hint="eastAsia" w:ascii="宋体" w:hAnsi="宋体" w:cs="宋体"/>
                <w:color w:val="000000"/>
              </w:rPr>
              <w:t>处于</w:t>
            </w:r>
            <w:r>
              <w:rPr>
                <w:rFonts w:hint="eastAsia" w:ascii="宋体" w:hAnsi="宋体" w:cs="宋体"/>
                <w:color w:val="000000"/>
                <w:lang w:val="en-US" w:eastAsia="zh-CN"/>
              </w:rPr>
              <w:t>正常</w:t>
            </w:r>
            <w:r>
              <w:rPr>
                <w:rFonts w:hint="eastAsia" w:ascii="宋体" w:hAnsi="宋体" w:cs="宋体"/>
                <w:color w:val="000000"/>
              </w:rPr>
              <w:t>工作状态，</w:t>
            </w:r>
            <w:r>
              <w:rPr>
                <w:rFonts w:hint="eastAsia" w:ascii="宋体" w:hAnsi="宋体" w:cs="宋体"/>
                <w:color w:val="000000"/>
                <w:lang w:val="en-US" w:eastAsia="zh-CN"/>
              </w:rPr>
              <w:t>低温环境结束</w:t>
            </w:r>
            <w:r>
              <w:rPr>
                <w:rFonts w:hint="eastAsia" w:ascii="宋体" w:hAnsi="宋体" w:cs="宋体"/>
                <w:color w:val="000000"/>
              </w:rPr>
              <w:t>后</w:t>
            </w:r>
            <w:r>
              <w:rPr>
                <w:rFonts w:hint="eastAsia" w:ascii="宋体" w:hAnsi="宋体" w:cs="宋体"/>
                <w:color w:val="000000"/>
                <w:lang w:val="en-US" w:eastAsia="zh-CN"/>
              </w:rPr>
              <w:t>设备也</w:t>
            </w:r>
            <w:r>
              <w:rPr>
                <w:rFonts w:hint="eastAsia" w:ascii="宋体" w:hAnsi="宋体" w:cs="宋体"/>
                <w:color w:val="000000"/>
              </w:rPr>
              <w:t>应能正常工作。（请在投标文件中提供检测机构出具的具有CMA标识的检测报告）。</w:t>
            </w:r>
          </w:p>
          <w:p w14:paraId="3250D9A9">
            <w:pPr>
              <w:pStyle w:val="279"/>
              <w:rPr>
                <w:rFonts w:hint="eastAsia" w:ascii="宋体" w:hAnsi="宋体" w:cs="宋体"/>
                <w:color w:val="000000"/>
              </w:rPr>
            </w:pPr>
            <w:r>
              <w:rPr>
                <w:rFonts w:hint="eastAsia" w:ascii="宋体" w:hAnsi="宋体" w:cs="宋体"/>
                <w:color w:val="000000"/>
              </w:rPr>
              <w:t>▲烟火报警功能检验：可见光视频图像:样机可对监控画面中≥100x100个像素点的烟雾目标进行检测并给出报警提示；热成像视频图像:样机可对监控画面中大小为25x25像素的火焰目标进行检测并给出报警提示。（请在投标文件中提供检测机构出具的具有CMA标识的检测报告）。</w:t>
            </w:r>
          </w:p>
          <w:p w14:paraId="64110045">
            <w:pPr>
              <w:pStyle w:val="279"/>
              <w:rPr>
                <w:rFonts w:hint="eastAsia" w:ascii="宋体" w:hAnsi="宋体" w:cs="宋体"/>
                <w:color w:val="000000"/>
              </w:rPr>
            </w:pPr>
            <w:r>
              <w:rPr>
                <w:rFonts w:hint="eastAsia" w:ascii="宋体" w:hAnsi="宋体" w:cs="宋体"/>
                <w:color w:val="000000"/>
              </w:rPr>
              <w:t>▲目标报警过滤功能检验：可对触发高温报警的目标进行识别和过滤可过滤的目标类型包括卡车、吊车、挖掘机、推土机、汽车尾气等</w:t>
            </w:r>
          </w:p>
          <w:p w14:paraId="6FF38E27">
            <w:pPr>
              <w:pStyle w:val="279"/>
              <w:rPr>
                <w:rFonts w:hint="eastAsia" w:ascii="宋体" w:hAnsi="宋体" w:cs="宋体"/>
                <w:color w:val="000000"/>
              </w:rPr>
            </w:pPr>
            <w:r>
              <w:rPr>
                <w:rFonts w:hint="eastAsia" w:ascii="宋体" w:hAnsi="宋体" w:cs="宋体"/>
                <w:color w:val="000000"/>
              </w:rPr>
              <w:t>噪声等效温差(NETD)检验：热成像视频图像噪声等效温差(NETD)≤8mK</w:t>
            </w:r>
          </w:p>
          <w:p w14:paraId="3219A14C">
            <w:pPr>
              <w:pStyle w:val="279"/>
              <w:rPr>
                <w:rFonts w:ascii="宋体" w:hAnsi="宋体" w:eastAsia="宋体" w:cs="宋体"/>
                <w:color w:val="000000"/>
              </w:rPr>
            </w:pPr>
            <w:r>
              <w:rPr>
                <w:rFonts w:hint="eastAsia" w:ascii="宋体" w:hAnsi="宋体" w:cs="宋体"/>
                <w:color w:val="000000"/>
              </w:rPr>
              <w:t>最小可分辨温差(MRTD)检验：热成像视频图像最小可分辨温差(MRTD)≤150mk。（请在投标文件中提供检测机构出具的具有CMA标识的检测报告）。</w:t>
            </w:r>
          </w:p>
        </w:tc>
      </w:tr>
      <w:tr w14:paraId="5BCA1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CB8BEF0">
            <w:pPr>
              <w:pStyle w:val="279"/>
              <w:jc w:val="center"/>
              <w:rPr>
                <w:rFonts w:ascii="宋体" w:hAnsi="宋体" w:eastAsia="宋体" w:cs="宋体"/>
              </w:rPr>
            </w:pPr>
            <w:r>
              <w:rPr>
                <w:rFonts w:hint="eastAsia" w:ascii="宋体" w:hAnsi="宋体" w:eastAsia="宋体" w:cs="宋体"/>
                <w:color w:val="000000"/>
              </w:rPr>
              <w:t>4</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B49FCFE">
            <w:pPr>
              <w:pStyle w:val="279"/>
              <w:jc w:val="center"/>
              <w:rPr>
                <w:rFonts w:ascii="宋体" w:hAnsi="宋体" w:eastAsia="宋体" w:cs="宋体"/>
              </w:rPr>
            </w:pPr>
            <w:r>
              <w:rPr>
                <w:rFonts w:hint="eastAsia" w:ascii="宋体" w:hAnsi="宋体" w:eastAsia="宋体" w:cs="宋体"/>
                <w:color w:val="000000"/>
                <w:lang w:bidi="ar"/>
              </w:rPr>
              <w:t>监控接电</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D397762">
            <w:pPr>
              <w:pStyle w:val="279"/>
              <w:rPr>
                <w:rFonts w:ascii="宋体" w:hAnsi="宋体" w:eastAsia="宋体" w:cs="宋体"/>
                <w:color w:val="000000"/>
              </w:rPr>
            </w:pPr>
            <w:r>
              <w:rPr>
                <w:rFonts w:hint="eastAsia" w:ascii="宋体" w:hAnsi="宋体" w:eastAsia="宋体" w:cs="宋体"/>
                <w:color w:val="000000"/>
              </w:rPr>
              <w:t>1、单独申请电表；</w:t>
            </w:r>
          </w:p>
          <w:p w14:paraId="5E23DC27">
            <w:pPr>
              <w:pStyle w:val="279"/>
              <w:rPr>
                <w:rFonts w:ascii="宋体" w:hAnsi="宋体" w:eastAsia="宋体" w:cs="宋体"/>
                <w:color w:val="000000"/>
              </w:rPr>
            </w:pPr>
            <w:r>
              <w:rPr>
                <w:rFonts w:hint="eastAsia" w:ascii="宋体" w:hAnsi="宋体" w:eastAsia="宋体" w:cs="宋体"/>
                <w:color w:val="000000"/>
              </w:rPr>
              <w:t>2、独立于充电棚以外接电，不得从充电棚内接电。包含项目中所有监控的接电服务：</w:t>
            </w:r>
            <w:r>
              <w:rPr>
                <w:rFonts w:ascii="宋体" w:hAnsi="宋体" w:eastAsia="宋体" w:cs="宋体"/>
                <w:color w:val="000000"/>
              </w:rPr>
              <w:t>包括但不限于接电箱电线、管材、漏电保护开关和施工等。</w:t>
            </w:r>
          </w:p>
        </w:tc>
      </w:tr>
      <w:tr w14:paraId="6E9F1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3471E2D">
            <w:pPr>
              <w:pStyle w:val="279"/>
              <w:jc w:val="center"/>
              <w:rPr>
                <w:rFonts w:ascii="宋体" w:hAnsi="宋体" w:eastAsia="宋体" w:cs="宋体"/>
              </w:rPr>
            </w:pPr>
            <w:r>
              <w:rPr>
                <w:rFonts w:hint="eastAsia" w:ascii="宋体" w:hAnsi="宋体" w:eastAsia="宋体" w:cs="宋体"/>
                <w:color w:val="000000"/>
              </w:rPr>
              <w:t>5</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B00A781">
            <w:pPr>
              <w:pStyle w:val="279"/>
              <w:jc w:val="center"/>
              <w:rPr>
                <w:rFonts w:ascii="宋体" w:hAnsi="宋体" w:eastAsia="宋体" w:cs="宋体"/>
              </w:rPr>
            </w:pPr>
            <w:r>
              <w:rPr>
                <w:rFonts w:hint="eastAsia" w:ascii="宋体" w:hAnsi="宋体" w:eastAsia="宋体" w:cs="宋体"/>
                <w:color w:val="000000"/>
                <w:lang w:bidi="ar"/>
              </w:rPr>
              <w:t>智能烟感</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F0F994C">
            <w:pPr>
              <w:pStyle w:val="279"/>
              <w:rPr>
                <w:rFonts w:ascii="宋体" w:hAnsi="宋体" w:eastAsia="宋体" w:cs="宋体"/>
                <w:color w:val="000000"/>
              </w:rPr>
            </w:pPr>
            <w:r>
              <w:rPr>
                <w:rFonts w:ascii="宋体" w:hAnsi="宋体" w:eastAsia="宋体" w:cs="宋体"/>
                <w:color w:val="000000"/>
              </w:rPr>
              <w:t>（1）产品认证：CCCF强制认证；</w:t>
            </w:r>
            <w:r>
              <w:rPr>
                <w:rFonts w:ascii="宋体" w:hAnsi="宋体" w:eastAsia="宋体" w:cs="宋体"/>
                <w:color w:val="000000"/>
              </w:rPr>
              <w:br w:type="textWrapping"/>
            </w:r>
            <w:r>
              <w:rPr>
                <w:rFonts w:ascii="宋体" w:hAnsi="宋体" w:eastAsia="宋体" w:cs="宋体"/>
                <w:color w:val="000000"/>
              </w:rPr>
              <w:t xml:space="preserve">（2）通讯模块：NB-Iot通讯； </w:t>
            </w:r>
            <w:r>
              <w:rPr>
                <w:rFonts w:ascii="宋体" w:hAnsi="宋体" w:eastAsia="宋体" w:cs="宋体"/>
                <w:color w:val="000000"/>
              </w:rPr>
              <w:br w:type="textWrapping"/>
            </w:r>
            <w:r>
              <w:rPr>
                <w:rFonts w:ascii="宋体" w:hAnsi="宋体" w:eastAsia="宋体" w:cs="宋体"/>
                <w:color w:val="000000"/>
              </w:rPr>
              <w:t>（3）工作原理：光电式、热敏元件感温；</w:t>
            </w:r>
            <w:r>
              <w:rPr>
                <w:rFonts w:ascii="宋体" w:hAnsi="宋体" w:eastAsia="宋体" w:cs="宋体"/>
                <w:color w:val="000000"/>
              </w:rPr>
              <w:br w:type="textWrapping"/>
            </w:r>
            <w:r>
              <w:rPr>
                <w:rFonts w:ascii="宋体" w:hAnsi="宋体" w:eastAsia="宋体" w:cs="宋体"/>
                <w:color w:val="000000"/>
              </w:rPr>
              <w:t>（4）工作电压：DC3.0V（锂电池）；</w:t>
            </w:r>
            <w:r>
              <w:rPr>
                <w:rFonts w:ascii="宋体" w:hAnsi="宋体" w:eastAsia="宋体" w:cs="宋体"/>
                <w:color w:val="000000"/>
              </w:rPr>
              <w:br w:type="textWrapping"/>
            </w:r>
            <w:r>
              <w:rPr>
                <w:rFonts w:ascii="宋体" w:hAnsi="宋体" w:eastAsia="宋体" w:cs="宋体"/>
                <w:color w:val="000000"/>
              </w:rPr>
              <w:t>（5）工作电流：静态电流≤13μA，报警电流≤150mA；</w:t>
            </w:r>
            <w:r>
              <w:rPr>
                <w:rFonts w:ascii="宋体" w:hAnsi="宋体" w:eastAsia="宋体" w:cs="宋体"/>
                <w:color w:val="000000"/>
              </w:rPr>
              <w:br w:type="textWrapping"/>
            </w:r>
            <w:r>
              <w:rPr>
                <w:rFonts w:ascii="宋体" w:hAnsi="宋体" w:eastAsia="宋体" w:cs="宋体"/>
                <w:color w:val="000000"/>
              </w:rPr>
              <w:t>（6）感温报警：定温57℃，差温约8℃/min；</w:t>
            </w:r>
            <w:r>
              <w:rPr>
                <w:rFonts w:ascii="宋体" w:hAnsi="宋体" w:eastAsia="宋体" w:cs="宋体"/>
                <w:color w:val="000000"/>
              </w:rPr>
              <w:br w:type="textWrapping"/>
            </w:r>
            <w:r>
              <w:rPr>
                <w:rFonts w:ascii="宋体" w:hAnsi="宋体" w:eastAsia="宋体" w:cs="宋体"/>
                <w:color w:val="000000"/>
              </w:rPr>
              <w:t>（7）报警方式：声光报警；</w:t>
            </w:r>
            <w:r>
              <w:rPr>
                <w:rFonts w:ascii="宋体" w:hAnsi="宋体" w:eastAsia="宋体" w:cs="宋体"/>
                <w:color w:val="000000"/>
              </w:rPr>
              <w:br w:type="textWrapping"/>
            </w:r>
            <w:r>
              <w:rPr>
                <w:rFonts w:ascii="宋体" w:hAnsi="宋体" w:eastAsia="宋体" w:cs="宋体"/>
                <w:color w:val="000000"/>
              </w:rPr>
              <w:t>（8）报警音量：≥85dB@3m（A计权）；</w:t>
            </w:r>
            <w:r>
              <w:rPr>
                <w:rFonts w:ascii="宋体" w:hAnsi="宋体" w:eastAsia="宋体" w:cs="宋体"/>
                <w:color w:val="000000"/>
              </w:rPr>
              <w:br w:type="textWrapping"/>
            </w:r>
            <w:r>
              <w:rPr>
                <w:rFonts w:ascii="宋体" w:hAnsi="宋体" w:eastAsia="宋体" w:cs="宋体"/>
                <w:color w:val="000000"/>
              </w:rPr>
              <w:t>（9）报警分类：火灾报警、低压报警、故障报警、防拆报警；</w:t>
            </w:r>
            <w:r>
              <w:rPr>
                <w:rFonts w:ascii="宋体" w:hAnsi="宋体" w:eastAsia="宋体" w:cs="宋体"/>
                <w:color w:val="000000"/>
              </w:rPr>
              <w:br w:type="textWrapping"/>
            </w:r>
            <w:r>
              <w:rPr>
                <w:rFonts w:ascii="宋体" w:hAnsi="宋体" w:eastAsia="宋体" w:cs="宋体"/>
                <w:color w:val="000000"/>
              </w:rPr>
              <w:t>（10）其他功能：自检按键、本地/远程消音、信号查询；</w:t>
            </w:r>
            <w:r>
              <w:rPr>
                <w:rFonts w:ascii="宋体" w:hAnsi="宋体" w:eastAsia="宋体" w:cs="宋体"/>
                <w:color w:val="000000"/>
              </w:rPr>
              <w:br w:type="textWrapping"/>
            </w:r>
            <w:r>
              <w:rPr>
                <w:rFonts w:ascii="宋体" w:hAnsi="宋体" w:eastAsia="宋体" w:cs="宋体"/>
                <w:color w:val="000000"/>
              </w:rPr>
              <w:t>（11）使用环境：温度：-10℃～55℃，相对湿度：≤95%（无凝露）。</w:t>
            </w:r>
          </w:p>
        </w:tc>
      </w:tr>
      <w:tr w14:paraId="79898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E400026">
            <w:pPr>
              <w:pStyle w:val="279"/>
              <w:jc w:val="center"/>
              <w:rPr>
                <w:rFonts w:ascii="宋体" w:hAnsi="宋体" w:eastAsia="宋体" w:cs="宋体"/>
              </w:rPr>
            </w:pPr>
            <w:r>
              <w:rPr>
                <w:rFonts w:hint="eastAsia" w:ascii="宋体" w:hAnsi="宋体" w:eastAsia="宋体" w:cs="宋体"/>
                <w:color w:val="000000"/>
              </w:rPr>
              <w:t>6</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2E8F86C">
            <w:pPr>
              <w:pStyle w:val="279"/>
              <w:jc w:val="center"/>
            </w:pPr>
            <w:r>
              <w:rPr>
                <w:rFonts w:hint="eastAsia" w:ascii="宋体" w:hAnsi="宋体" w:eastAsia="宋体" w:cs="宋体"/>
                <w:color w:val="000000"/>
                <w:lang w:bidi="ar"/>
              </w:rPr>
              <w:t>视频监控平台及配套程序</w:t>
            </w:r>
          </w:p>
          <w:p w14:paraId="0FA4B2F6">
            <w:pPr>
              <w:pStyle w:val="279"/>
              <w:jc w:val="center"/>
            </w:pP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3A19427">
            <w:pPr>
              <w:pStyle w:val="279"/>
              <w:rPr>
                <w:rFonts w:ascii="宋体" w:hAnsi="宋体" w:eastAsia="宋体" w:cs="宋体"/>
                <w:color w:val="000000"/>
              </w:rPr>
            </w:pPr>
            <w:r>
              <w:rPr>
                <w:rFonts w:hint="eastAsia" w:ascii="宋体" w:hAnsi="宋体" w:eastAsia="宋体" w:cs="宋体"/>
                <w:color w:val="000000"/>
              </w:rPr>
              <w:t>1、支持APP客户端（ios/安卓）、PC客户端、BS端访问模式；</w:t>
            </w:r>
          </w:p>
          <w:p w14:paraId="23481C1F">
            <w:pPr>
              <w:pStyle w:val="279"/>
              <w:rPr>
                <w:rFonts w:ascii="宋体" w:hAnsi="宋体" w:eastAsia="宋体" w:cs="宋体"/>
                <w:color w:val="000000"/>
              </w:rPr>
            </w:pPr>
            <w:r>
              <w:rPr>
                <w:rFonts w:hint="eastAsia" w:ascii="宋体" w:hAnsi="宋体" w:eastAsia="宋体" w:cs="宋体"/>
                <w:color w:val="000000"/>
              </w:rPr>
              <w:t>2、支持视频图像实时预览功能；支持视频图像手动截图功能；支持视频图像本地手动录像功能；支持语音对讲功能；支持1/4/5/6/8/9/16多分屏画面显示模式；支持全屏画面显示模式；支持摄像头通道切换功能；支持获取设备信息、轮巡播放功能；</w:t>
            </w:r>
          </w:p>
          <w:p w14:paraId="73C0BD45">
            <w:pPr>
              <w:pStyle w:val="279"/>
              <w:rPr>
                <w:rFonts w:ascii="宋体" w:hAnsi="宋体" w:eastAsia="宋体" w:cs="宋体"/>
                <w:color w:val="000000"/>
              </w:rPr>
            </w:pPr>
            <w:r>
              <w:rPr>
                <w:rFonts w:hint="eastAsia" w:ascii="宋体" w:hAnsi="宋体" w:eastAsia="宋体" w:cs="宋体"/>
                <w:color w:val="000000"/>
              </w:rPr>
              <w:t>3、支持监控视频全天云回看功能；支持监控视频时间轴、全屏录像回放、云存下载、存储视频查询搜索功能；</w:t>
            </w:r>
          </w:p>
          <w:p w14:paraId="070E1183">
            <w:pPr>
              <w:pStyle w:val="279"/>
              <w:rPr>
                <w:rFonts w:ascii="宋体" w:hAnsi="宋体" w:eastAsia="宋体" w:cs="宋体"/>
                <w:color w:val="000000"/>
              </w:rPr>
            </w:pPr>
            <w:r>
              <w:rPr>
                <w:rFonts w:hint="eastAsia" w:ascii="宋体" w:hAnsi="宋体" w:eastAsia="宋体" w:cs="宋体"/>
                <w:color w:val="000000"/>
              </w:rPr>
              <w:t>4、支持语音和告警消息提醒功能；</w:t>
            </w:r>
          </w:p>
          <w:p w14:paraId="7C8CCD55">
            <w:pPr>
              <w:pStyle w:val="279"/>
              <w:rPr>
                <w:rFonts w:ascii="宋体" w:hAnsi="宋体" w:eastAsia="宋体" w:cs="宋体"/>
                <w:color w:val="000000"/>
              </w:rPr>
            </w:pPr>
            <w:r>
              <w:rPr>
                <w:rFonts w:hint="eastAsia" w:ascii="宋体" w:hAnsi="宋体" w:eastAsia="宋体" w:cs="宋体"/>
                <w:color w:val="000000"/>
              </w:rPr>
              <w:t>5、支持账号与层级管理功能，支持级联管理、子账号开通、分权分域管理、回看、云台控制权限分离、自定义业务树层、线上签约授权、角色创建、人员管理、业务树目录层级管理功能；</w:t>
            </w:r>
          </w:p>
          <w:p w14:paraId="2CFFAEBF">
            <w:pPr>
              <w:pStyle w:val="279"/>
              <w:rPr>
                <w:rFonts w:ascii="宋体" w:hAnsi="宋体" w:eastAsia="宋体" w:cs="宋体"/>
                <w:color w:val="000000"/>
              </w:rPr>
            </w:pPr>
            <w:r>
              <w:rPr>
                <w:rFonts w:hint="eastAsia" w:ascii="宋体" w:hAnsi="宋体" w:eastAsia="宋体" w:cs="宋体"/>
                <w:color w:val="000000"/>
              </w:rPr>
              <w:t>6、支持APP客户端添加设备、设备绑定、设备挂靠、设备经纬度上报、设备查看、设备搜索功能，支持绑定终端设备固件远程升级、授权分享、设备分享功能；</w:t>
            </w:r>
          </w:p>
          <w:p w14:paraId="477CCE36">
            <w:pPr>
              <w:pStyle w:val="279"/>
              <w:rPr>
                <w:rFonts w:ascii="宋体" w:hAnsi="宋体" w:eastAsia="宋体" w:cs="宋体"/>
                <w:color w:val="000000"/>
              </w:rPr>
            </w:pPr>
            <w:r>
              <w:rPr>
                <w:rFonts w:hint="eastAsia" w:ascii="宋体" w:hAnsi="宋体" w:eastAsia="宋体" w:cs="宋体"/>
                <w:color w:val="000000"/>
              </w:rPr>
              <w:t>7、支持电子地图功能，查看监控设备地理位置；</w:t>
            </w:r>
          </w:p>
          <w:p w14:paraId="11684D1D">
            <w:pPr>
              <w:pStyle w:val="279"/>
              <w:rPr>
                <w:rFonts w:ascii="宋体" w:hAnsi="宋体" w:eastAsia="宋体" w:cs="宋体"/>
                <w:color w:val="000000"/>
              </w:rPr>
            </w:pPr>
            <w:r>
              <w:rPr>
                <w:rFonts w:hint="eastAsia" w:ascii="宋体" w:hAnsi="宋体" w:eastAsia="宋体" w:cs="宋体"/>
                <w:color w:val="000000"/>
              </w:rPr>
              <w:t>8、平台通过公安部GB 35114-2017标准检测（须提供带有CMA标志的检测报告扫描件。）</w:t>
            </w:r>
          </w:p>
          <w:p w14:paraId="21BDB88C">
            <w:pPr>
              <w:pStyle w:val="279"/>
              <w:rPr>
                <w:rFonts w:ascii="宋体" w:hAnsi="宋体" w:eastAsia="宋体" w:cs="宋体"/>
                <w:color w:val="000000"/>
              </w:rPr>
            </w:pPr>
            <w:r>
              <w:rPr>
                <w:rFonts w:hint="eastAsia" w:ascii="宋体" w:hAnsi="宋体" w:eastAsia="宋体" w:cs="宋体"/>
                <w:color w:val="000000"/>
              </w:rPr>
              <w:t>9、监控平台的信息系统安全等级保护满足《信息安全等级保护管理办法》二级及以上要求，项目完成验收前提供公安部门备案证明。</w:t>
            </w:r>
          </w:p>
          <w:p w14:paraId="567C9425">
            <w:pPr>
              <w:pStyle w:val="279"/>
              <w:rPr>
                <w:rFonts w:ascii="宋体" w:hAnsi="宋体" w:eastAsia="宋体" w:cs="宋体"/>
                <w:color w:val="000000"/>
              </w:rPr>
            </w:pPr>
            <w:r>
              <w:rPr>
                <w:rFonts w:hint="eastAsia" w:ascii="宋体" w:hAnsi="宋体" w:eastAsia="宋体" w:cs="宋体"/>
                <w:color w:val="000000"/>
              </w:rPr>
              <w:t>10、平台具备万级终端接入管理能力。</w:t>
            </w:r>
          </w:p>
        </w:tc>
      </w:tr>
      <w:tr w14:paraId="60FCA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DA6AF5A">
            <w:pPr>
              <w:pStyle w:val="279"/>
              <w:jc w:val="center"/>
              <w:rPr>
                <w:rFonts w:ascii="宋体" w:hAnsi="宋体" w:eastAsia="宋体" w:cs="宋体"/>
              </w:rPr>
            </w:pPr>
            <w:r>
              <w:rPr>
                <w:rFonts w:hint="eastAsia" w:ascii="宋体" w:hAnsi="宋体" w:eastAsia="宋体" w:cs="宋体"/>
                <w:color w:val="000000"/>
              </w:rPr>
              <w:t>7</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52CFEFE">
            <w:pPr>
              <w:pStyle w:val="279"/>
              <w:jc w:val="center"/>
              <w:rPr>
                <w:rFonts w:ascii="宋体" w:hAnsi="宋体" w:eastAsia="宋体" w:cs="宋体"/>
              </w:rPr>
            </w:pPr>
            <w:r>
              <w:rPr>
                <w:rFonts w:hint="eastAsia" w:ascii="宋体" w:hAnsi="宋体" w:eastAsia="宋体" w:cs="宋体"/>
                <w:color w:val="000000"/>
                <w:lang w:bidi="ar"/>
              </w:rPr>
              <w:t>单摄像机30*24小时录像存储租用费</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0E3A198">
            <w:pPr>
              <w:pStyle w:val="279"/>
              <w:rPr>
                <w:rFonts w:ascii="宋体" w:hAnsi="宋体" w:eastAsia="宋体" w:cs="宋体"/>
                <w:color w:val="000000"/>
              </w:rPr>
            </w:pPr>
            <w:r>
              <w:rPr>
                <w:rFonts w:hint="eastAsia" w:ascii="宋体" w:hAnsi="宋体" w:eastAsia="宋体" w:cs="宋体"/>
                <w:color w:val="000000"/>
              </w:rPr>
              <w:t>提供监控视频及热成像画面云存储服务，支持30天回看。30*24小时录像存储。</w:t>
            </w:r>
          </w:p>
        </w:tc>
      </w:tr>
      <w:tr w14:paraId="31882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DEAE582">
            <w:pPr>
              <w:pStyle w:val="279"/>
              <w:jc w:val="center"/>
              <w:rPr>
                <w:rFonts w:ascii="宋体" w:hAnsi="宋体" w:eastAsia="宋体" w:cs="宋体"/>
              </w:rPr>
            </w:pPr>
            <w:r>
              <w:rPr>
                <w:rFonts w:hint="eastAsia" w:ascii="宋体" w:hAnsi="宋体" w:eastAsia="宋体" w:cs="宋体"/>
                <w:color w:val="000000"/>
              </w:rPr>
              <w:t>8</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8B7785C">
            <w:pPr>
              <w:pStyle w:val="279"/>
              <w:jc w:val="center"/>
              <w:rPr>
                <w:rFonts w:ascii="宋体" w:hAnsi="宋体" w:eastAsia="宋体" w:cs="宋体"/>
              </w:rPr>
            </w:pPr>
            <w:r>
              <w:rPr>
                <w:rFonts w:hint="eastAsia" w:ascii="宋体" w:hAnsi="宋体" w:eastAsia="宋体" w:cs="宋体"/>
                <w:color w:val="000000"/>
                <w:lang w:bidi="ar"/>
              </w:rPr>
              <w:t>传输网络</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61F8A80">
            <w:pPr>
              <w:pStyle w:val="279"/>
              <w:rPr>
                <w:rFonts w:ascii="宋体" w:hAnsi="宋体" w:eastAsia="宋体" w:cs="宋体"/>
                <w:color w:val="000000"/>
              </w:rPr>
            </w:pPr>
            <w:r>
              <w:rPr>
                <w:rFonts w:hint="eastAsia" w:ascii="宋体" w:hAnsi="宋体" w:eastAsia="宋体" w:cs="宋体"/>
                <w:color w:val="000000"/>
              </w:rPr>
              <w:t>1、提供宽带服务，每条带宽不低于100M，服务期36个月。</w:t>
            </w:r>
          </w:p>
          <w:p w14:paraId="6CC53488">
            <w:pPr>
              <w:pStyle w:val="279"/>
              <w:rPr>
                <w:rFonts w:ascii="宋体" w:hAnsi="宋体" w:eastAsia="宋体" w:cs="宋体"/>
                <w:color w:val="000000"/>
              </w:rPr>
            </w:pPr>
            <w:r>
              <w:rPr>
                <w:rFonts w:hint="eastAsia" w:ascii="宋体" w:hAnsi="宋体" w:eastAsia="宋体" w:cs="宋体"/>
                <w:color w:val="000000"/>
              </w:rPr>
              <w:t>2、满足项目使用要求的汇聚宽带，带宽由中标方根据自己的设备参数自行测算。</w:t>
            </w:r>
          </w:p>
        </w:tc>
      </w:tr>
      <w:tr w14:paraId="5A5C2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27569E4">
            <w:pPr>
              <w:pStyle w:val="279"/>
              <w:jc w:val="center"/>
              <w:rPr>
                <w:rFonts w:ascii="宋体" w:hAnsi="宋体" w:eastAsia="宋体" w:cs="宋体"/>
              </w:rPr>
            </w:pPr>
            <w:r>
              <w:rPr>
                <w:rFonts w:hint="eastAsia" w:ascii="宋体" w:hAnsi="宋体" w:eastAsia="宋体" w:cs="宋体"/>
                <w:color w:val="000000"/>
              </w:rPr>
              <w:t>9</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3D790D2">
            <w:pPr>
              <w:pStyle w:val="279"/>
              <w:jc w:val="center"/>
              <w:rPr>
                <w:rFonts w:ascii="宋体" w:hAnsi="宋体" w:eastAsia="宋体" w:cs="宋体"/>
              </w:rPr>
            </w:pPr>
            <w:r>
              <w:rPr>
                <w:rFonts w:hint="eastAsia" w:ascii="宋体" w:hAnsi="宋体" w:eastAsia="宋体" w:cs="宋体"/>
                <w:color w:val="000000"/>
                <w:lang w:bidi="ar"/>
              </w:rPr>
              <w:t>锂电池专用灭火器6L</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42C0A32">
            <w:pPr>
              <w:pStyle w:val="279"/>
              <w:rPr>
                <w:rFonts w:ascii="宋体" w:hAnsi="宋体" w:eastAsia="宋体" w:cs="宋体"/>
                <w:color w:val="000000"/>
              </w:rPr>
            </w:pPr>
            <w:r>
              <w:rPr>
                <w:rFonts w:hint="eastAsia" w:ascii="宋体" w:hAnsi="宋体" w:eastAsia="宋体" w:cs="宋体"/>
                <w:color w:val="000000"/>
              </w:rPr>
              <w:t>1、水基型、添加锂电池专用灭火剂</w:t>
            </w:r>
          </w:p>
          <w:p w14:paraId="07AC4029">
            <w:pPr>
              <w:pStyle w:val="279"/>
              <w:rPr>
                <w:rFonts w:ascii="宋体" w:hAnsi="宋体" w:eastAsia="宋体" w:cs="宋体"/>
                <w:color w:val="000000"/>
              </w:rPr>
            </w:pPr>
            <w:r>
              <w:rPr>
                <w:rFonts w:hint="eastAsia" w:ascii="宋体" w:hAnsi="宋体" w:eastAsia="宋体" w:cs="宋体"/>
                <w:color w:val="000000"/>
              </w:rPr>
              <w:t>2、使用温度：0-60℃</w:t>
            </w:r>
          </w:p>
          <w:p w14:paraId="766A6D58">
            <w:pPr>
              <w:pStyle w:val="279"/>
              <w:rPr>
                <w:rFonts w:ascii="宋体" w:hAnsi="宋体" w:eastAsia="宋体" w:cs="宋体"/>
                <w:color w:val="000000"/>
              </w:rPr>
            </w:pPr>
            <w:r>
              <w:rPr>
                <w:rFonts w:hint="eastAsia" w:ascii="宋体" w:hAnsi="宋体" w:eastAsia="宋体" w:cs="宋体"/>
                <w:color w:val="000000"/>
              </w:rPr>
              <w:t>3、灭火种类：锂电池火、A类火、E类火</w:t>
            </w:r>
          </w:p>
          <w:p w14:paraId="649C4035">
            <w:pPr>
              <w:pStyle w:val="279"/>
              <w:rPr>
                <w:rFonts w:ascii="宋体" w:hAnsi="宋体" w:eastAsia="宋体" w:cs="宋体"/>
                <w:color w:val="000000"/>
              </w:rPr>
            </w:pPr>
            <w:r>
              <w:rPr>
                <w:rFonts w:hint="eastAsia" w:ascii="宋体" w:hAnsi="宋体" w:eastAsia="宋体" w:cs="宋体"/>
                <w:color w:val="000000"/>
              </w:rPr>
              <w:t>4、喷射距离≥3m</w:t>
            </w:r>
          </w:p>
          <w:p w14:paraId="51E08670">
            <w:pPr>
              <w:pStyle w:val="279"/>
              <w:rPr>
                <w:rFonts w:ascii="宋体" w:hAnsi="宋体" w:eastAsia="宋体" w:cs="宋体"/>
                <w:color w:val="000000"/>
              </w:rPr>
            </w:pPr>
            <w:r>
              <w:rPr>
                <w:rFonts w:hint="eastAsia" w:ascii="宋体" w:hAnsi="宋体" w:eastAsia="宋体" w:cs="宋体"/>
                <w:color w:val="000000"/>
              </w:rPr>
              <w:t>5、喷射时间≥30s</w:t>
            </w:r>
          </w:p>
          <w:p w14:paraId="68FC5B24">
            <w:pPr>
              <w:pStyle w:val="279"/>
              <w:rPr>
                <w:rFonts w:ascii="宋体" w:hAnsi="宋体" w:eastAsia="宋体" w:cs="宋体"/>
                <w:color w:val="000000"/>
              </w:rPr>
            </w:pPr>
            <w:r>
              <w:rPr>
                <w:rFonts w:hint="eastAsia" w:ascii="宋体" w:hAnsi="宋体" w:eastAsia="宋体" w:cs="宋体"/>
                <w:color w:val="000000"/>
              </w:rPr>
              <w:t>6、驱动气体压力1.2MPa</w:t>
            </w:r>
          </w:p>
          <w:p w14:paraId="49F8E4D5">
            <w:pPr>
              <w:pStyle w:val="279"/>
              <w:rPr>
                <w:rFonts w:ascii="宋体" w:hAnsi="宋体" w:eastAsia="宋体" w:cs="宋体"/>
                <w:color w:val="000000"/>
              </w:rPr>
            </w:pPr>
            <w:r>
              <w:rPr>
                <w:rFonts w:hint="eastAsia" w:ascii="宋体" w:hAnsi="宋体" w:eastAsia="宋体" w:cs="宋体"/>
                <w:color w:val="000000"/>
              </w:rPr>
              <w:t>7、对于 E 类火灾(带电火灾，锂电池在充电或未完全放电时),灭火装置应能在不导电的情况下有效灭火，且在灭火过程中不应发生电击危险。灭火装置的绝缘性能应符合相关标准，电绝缘性能≤0.08mA</w:t>
            </w:r>
          </w:p>
          <w:p w14:paraId="142DDB18">
            <w:pPr>
              <w:pStyle w:val="279"/>
              <w:rPr>
                <w:rFonts w:ascii="宋体" w:hAnsi="宋体" w:eastAsia="宋体" w:cs="宋体"/>
                <w:color w:val="000000"/>
              </w:rPr>
            </w:pPr>
            <w:r>
              <w:rPr>
                <w:rFonts w:hint="eastAsia" w:ascii="宋体" w:hAnsi="宋体" w:eastAsia="宋体" w:cs="宋体"/>
                <w:color w:val="000000"/>
              </w:rPr>
              <w:t>8、质保期不少于3年；</w:t>
            </w:r>
          </w:p>
          <w:p w14:paraId="5C59C5EE">
            <w:pPr>
              <w:pStyle w:val="279"/>
              <w:rPr>
                <w:rFonts w:ascii="宋体" w:hAnsi="宋体" w:eastAsia="宋体" w:cs="宋体"/>
                <w:color w:val="000000"/>
              </w:rPr>
            </w:pPr>
            <w:r>
              <w:rPr>
                <w:rFonts w:hint="eastAsia" w:ascii="宋体" w:hAnsi="宋体" w:eastAsia="宋体" w:cs="宋体"/>
                <w:color w:val="000000"/>
              </w:rPr>
              <w:t>9、附带专用壁挂式挂架（含安装配件）</w:t>
            </w:r>
          </w:p>
        </w:tc>
      </w:tr>
      <w:tr w14:paraId="642AF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2336815">
            <w:pPr>
              <w:pStyle w:val="279"/>
              <w:jc w:val="center"/>
              <w:rPr>
                <w:rFonts w:ascii="宋体" w:hAnsi="宋体" w:eastAsia="宋体" w:cs="宋体"/>
                <w:color w:val="000000"/>
              </w:rPr>
            </w:pPr>
            <w:r>
              <w:rPr>
                <w:rFonts w:hint="eastAsia" w:ascii="宋体" w:hAnsi="宋体" w:eastAsia="宋体" w:cs="宋体"/>
                <w:color w:val="000000"/>
              </w:rPr>
              <w:t>10</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D7040ED">
            <w:pPr>
              <w:pStyle w:val="279"/>
              <w:jc w:val="center"/>
              <w:rPr>
                <w:rFonts w:ascii="宋体" w:hAnsi="宋体" w:eastAsia="宋体" w:cs="宋体"/>
                <w:color w:val="000000"/>
              </w:rPr>
            </w:pPr>
            <w:r>
              <w:rPr>
                <w:rFonts w:hint="eastAsia" w:ascii="宋体" w:hAnsi="宋体" w:eastAsia="宋体" w:cs="宋体"/>
                <w:color w:val="000000"/>
                <w:lang w:bidi="ar"/>
              </w:rPr>
              <w:t>消防长钩</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E2D4A91">
            <w:pPr>
              <w:pStyle w:val="279"/>
              <w:rPr>
                <w:rFonts w:ascii="宋体" w:hAnsi="宋体" w:eastAsia="宋体" w:cs="宋体"/>
                <w:color w:val="000000"/>
              </w:rPr>
            </w:pPr>
            <w:r>
              <w:rPr>
                <w:rFonts w:hint="eastAsia" w:ascii="宋体" w:hAnsi="宋体" w:eastAsia="宋体" w:cs="宋体"/>
                <w:color w:val="000000"/>
              </w:rPr>
              <w:t>1、材质应满足绝缘、难燃特性。</w:t>
            </w:r>
          </w:p>
          <w:p w14:paraId="70E71391">
            <w:pPr>
              <w:pStyle w:val="279"/>
              <w:rPr>
                <w:rFonts w:ascii="宋体" w:hAnsi="宋体" w:eastAsia="宋体" w:cs="宋体"/>
                <w:color w:val="000000"/>
              </w:rPr>
            </w:pPr>
            <w:r>
              <w:rPr>
                <w:rFonts w:hint="eastAsia" w:ascii="宋体" w:hAnsi="宋体" w:eastAsia="宋体" w:cs="宋体"/>
                <w:color w:val="000000"/>
              </w:rPr>
              <w:t>2、长钩部分不小于 30cm，杆身不小于170cm。</w:t>
            </w:r>
          </w:p>
          <w:p w14:paraId="7B9F43A4">
            <w:pPr>
              <w:pStyle w:val="279"/>
              <w:rPr>
                <w:rFonts w:ascii="宋体" w:hAnsi="宋体" w:eastAsia="宋体" w:cs="宋体"/>
                <w:color w:val="000000"/>
              </w:rPr>
            </w:pPr>
            <w:r>
              <w:rPr>
                <w:rFonts w:hint="eastAsia" w:ascii="宋体" w:hAnsi="宋体" w:eastAsia="宋体" w:cs="宋体"/>
                <w:color w:val="000000"/>
              </w:rPr>
              <w:t>3、配置便于操作的握柄。</w:t>
            </w:r>
          </w:p>
          <w:p w14:paraId="53C225D7">
            <w:pPr>
              <w:pStyle w:val="279"/>
              <w:rPr>
                <w:rFonts w:ascii="宋体" w:hAnsi="宋体" w:eastAsia="宋体" w:cs="宋体"/>
                <w:color w:val="000000"/>
              </w:rPr>
            </w:pPr>
            <w:r>
              <w:rPr>
                <w:rFonts w:hint="eastAsia" w:ascii="宋体" w:hAnsi="宋体" w:eastAsia="宋体" w:cs="宋体"/>
                <w:color w:val="000000"/>
              </w:rPr>
              <w:t>4、消防长钩的绝缘操作杆段落支持的额定电压≥10KV。绝缘操作杆在试验电压45KV且试验时间1分钟的的工频耐压试验中，工频耐压试验的结果为通过。</w:t>
            </w:r>
          </w:p>
        </w:tc>
      </w:tr>
      <w:tr w14:paraId="5FCF4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A1B02C5">
            <w:pPr>
              <w:pStyle w:val="279"/>
              <w:jc w:val="center"/>
              <w:rPr>
                <w:rFonts w:ascii="宋体" w:hAnsi="宋体" w:eastAsia="宋体" w:cs="宋体"/>
                <w:color w:val="000000"/>
              </w:rPr>
            </w:pPr>
            <w:r>
              <w:rPr>
                <w:rFonts w:hint="eastAsia" w:ascii="宋体" w:hAnsi="宋体" w:eastAsia="宋体" w:cs="宋体"/>
                <w:color w:val="000000"/>
              </w:rPr>
              <w:t>11</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8E07688">
            <w:pPr>
              <w:pStyle w:val="279"/>
              <w:jc w:val="center"/>
              <w:rPr>
                <w:rFonts w:ascii="宋体" w:hAnsi="宋体" w:eastAsia="宋体" w:cs="宋体"/>
                <w:color w:val="000000"/>
              </w:rPr>
            </w:pPr>
            <w:r>
              <w:rPr>
                <w:rFonts w:hint="eastAsia" w:ascii="宋体" w:hAnsi="宋体" w:eastAsia="宋体" w:cs="宋体"/>
                <w:color w:val="000000"/>
                <w:lang w:bidi="ar"/>
              </w:rPr>
              <w:t>点位辅材</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883B69D">
            <w:pPr>
              <w:pStyle w:val="279"/>
              <w:rPr>
                <w:rFonts w:ascii="宋体" w:hAnsi="宋体" w:eastAsia="宋体" w:cs="宋体"/>
                <w:color w:val="000000"/>
              </w:rPr>
            </w:pPr>
            <w:r>
              <w:rPr>
                <w:rFonts w:hint="eastAsia" w:ascii="宋体" w:hAnsi="宋体" w:eastAsia="宋体" w:cs="宋体"/>
                <w:color w:val="000000"/>
              </w:rPr>
              <w:t>项目所需电源、支架、电线等。</w:t>
            </w:r>
          </w:p>
        </w:tc>
      </w:tr>
      <w:tr w14:paraId="43CF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72EC9D2">
            <w:pPr>
              <w:pStyle w:val="279"/>
              <w:jc w:val="center"/>
              <w:rPr>
                <w:rFonts w:ascii="宋体" w:hAnsi="宋体" w:eastAsia="宋体" w:cs="宋体"/>
                <w:color w:val="000000"/>
              </w:rPr>
            </w:pPr>
            <w:r>
              <w:rPr>
                <w:rFonts w:hint="eastAsia" w:ascii="宋体" w:hAnsi="宋体" w:eastAsia="宋体" w:cs="宋体"/>
                <w:color w:val="000000"/>
              </w:rPr>
              <w:t>12</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1AE4A97A">
            <w:pPr>
              <w:pStyle w:val="279"/>
              <w:jc w:val="center"/>
              <w:rPr>
                <w:rFonts w:ascii="宋体" w:hAnsi="宋体" w:eastAsia="宋体" w:cs="宋体"/>
                <w:color w:val="000000"/>
                <w:lang w:bidi="ar"/>
              </w:rPr>
            </w:pPr>
            <w:r>
              <w:rPr>
                <w:rFonts w:hint="eastAsia" w:ascii="宋体" w:hAnsi="宋体" w:eastAsia="宋体" w:cs="宋体"/>
                <w:color w:val="000000"/>
                <w:lang w:bidi="ar"/>
              </w:rPr>
              <w:t>推车式锂电池灭火器（25L/具）</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61C16DA">
            <w:pPr>
              <w:pStyle w:val="279"/>
              <w:rPr>
                <w:rFonts w:ascii="宋体" w:hAnsi="宋体" w:eastAsia="宋体" w:cs="宋体"/>
                <w:color w:val="000000"/>
              </w:rPr>
            </w:pPr>
            <w:r>
              <w:rPr>
                <w:rFonts w:hint="eastAsia" w:ascii="宋体" w:hAnsi="宋体" w:eastAsia="宋体" w:cs="宋体"/>
                <w:color w:val="000000"/>
              </w:rPr>
              <w:t>1、水基型、添加锂电池专用灭火剂</w:t>
            </w:r>
          </w:p>
          <w:p w14:paraId="2F9AB260">
            <w:pPr>
              <w:pStyle w:val="279"/>
              <w:rPr>
                <w:rFonts w:ascii="宋体" w:hAnsi="宋体" w:eastAsia="宋体" w:cs="宋体"/>
                <w:color w:val="000000"/>
              </w:rPr>
            </w:pPr>
            <w:r>
              <w:rPr>
                <w:rFonts w:hint="eastAsia" w:ascii="宋体" w:hAnsi="宋体" w:eastAsia="宋体" w:cs="宋体"/>
                <w:color w:val="000000"/>
              </w:rPr>
              <w:t>2、使用温度：0-60℃</w:t>
            </w:r>
          </w:p>
          <w:p w14:paraId="0B40D44D">
            <w:pPr>
              <w:pStyle w:val="279"/>
              <w:rPr>
                <w:rFonts w:ascii="宋体" w:hAnsi="宋体" w:eastAsia="宋体" w:cs="宋体"/>
                <w:color w:val="000000"/>
              </w:rPr>
            </w:pPr>
            <w:r>
              <w:rPr>
                <w:rFonts w:hint="eastAsia" w:ascii="宋体" w:hAnsi="宋体" w:eastAsia="宋体" w:cs="宋体"/>
                <w:color w:val="000000"/>
              </w:rPr>
              <w:t>3、灭火种类：锂电池火、A类火、E类火</w:t>
            </w:r>
          </w:p>
          <w:p w14:paraId="75382852">
            <w:pPr>
              <w:pStyle w:val="279"/>
              <w:rPr>
                <w:rFonts w:ascii="宋体" w:hAnsi="宋体" w:eastAsia="宋体" w:cs="宋体"/>
                <w:color w:val="000000"/>
              </w:rPr>
            </w:pPr>
            <w:r>
              <w:rPr>
                <w:rFonts w:hint="eastAsia" w:ascii="宋体" w:hAnsi="宋体" w:eastAsia="宋体" w:cs="宋体"/>
                <w:color w:val="000000"/>
              </w:rPr>
              <w:t>4、喷射距离≥3m</w:t>
            </w:r>
          </w:p>
          <w:p w14:paraId="6A81B83C">
            <w:pPr>
              <w:pStyle w:val="279"/>
              <w:rPr>
                <w:rFonts w:ascii="宋体" w:hAnsi="宋体" w:eastAsia="宋体" w:cs="宋体"/>
                <w:color w:val="000000"/>
              </w:rPr>
            </w:pPr>
            <w:r>
              <w:rPr>
                <w:rFonts w:hint="eastAsia" w:ascii="宋体" w:hAnsi="宋体" w:eastAsia="宋体" w:cs="宋体"/>
                <w:color w:val="000000"/>
              </w:rPr>
              <w:t>5、喷射时间≥40s</w:t>
            </w:r>
          </w:p>
          <w:p w14:paraId="7FE7E362">
            <w:pPr>
              <w:pStyle w:val="279"/>
              <w:rPr>
                <w:rFonts w:ascii="宋体" w:hAnsi="宋体" w:eastAsia="宋体" w:cs="宋体"/>
                <w:color w:val="000000"/>
              </w:rPr>
            </w:pPr>
            <w:r>
              <w:rPr>
                <w:rFonts w:hint="eastAsia" w:ascii="宋体" w:hAnsi="宋体" w:eastAsia="宋体" w:cs="宋体"/>
                <w:color w:val="000000"/>
              </w:rPr>
              <w:t>6、驱动气体压力1.2MPa</w:t>
            </w:r>
          </w:p>
          <w:p w14:paraId="57FEBEF4">
            <w:pPr>
              <w:pStyle w:val="279"/>
              <w:rPr>
                <w:rFonts w:hint="eastAsia" w:ascii="宋体" w:hAnsi="宋体" w:eastAsia="宋体" w:cs="宋体"/>
                <w:color w:val="000000"/>
              </w:rPr>
            </w:pPr>
            <w:r>
              <w:rPr>
                <w:rFonts w:hint="eastAsia" w:ascii="宋体" w:hAnsi="宋体" w:eastAsia="宋体" w:cs="宋体"/>
                <w:color w:val="000000"/>
              </w:rPr>
              <w:t>7、质保期不少于3年</w:t>
            </w:r>
          </w:p>
        </w:tc>
      </w:tr>
      <w:tr w14:paraId="22057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A8E0BE1">
            <w:pPr>
              <w:pStyle w:val="279"/>
              <w:jc w:val="center"/>
              <w:rPr>
                <w:rFonts w:ascii="宋体" w:hAnsi="宋体" w:eastAsia="宋体" w:cs="宋体"/>
                <w:color w:val="000000"/>
              </w:rPr>
            </w:pPr>
            <w:r>
              <w:rPr>
                <w:rFonts w:hint="eastAsia" w:ascii="宋体" w:hAnsi="宋体" w:eastAsia="宋体" w:cs="宋体"/>
                <w:color w:val="000000"/>
              </w:rPr>
              <w:t>13</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FB11B21">
            <w:pPr>
              <w:pStyle w:val="279"/>
              <w:jc w:val="center"/>
              <w:rPr>
                <w:rFonts w:ascii="宋体" w:hAnsi="宋体" w:eastAsia="宋体" w:cs="宋体"/>
                <w:color w:val="000000"/>
                <w:lang w:bidi="ar"/>
              </w:rPr>
            </w:pPr>
            <w:r>
              <w:rPr>
                <w:rFonts w:hint="eastAsia" w:ascii="宋体" w:hAnsi="宋体" w:eastAsia="宋体" w:cs="宋体"/>
                <w:color w:val="000000"/>
                <w:lang w:bidi="ar"/>
              </w:rPr>
              <w:t>灭火毯</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383D661">
            <w:pPr>
              <w:pStyle w:val="279"/>
              <w:rPr>
                <w:rFonts w:hint="eastAsia" w:ascii="宋体" w:hAnsi="宋体" w:eastAsia="宋体" w:cs="宋体"/>
                <w:color w:val="000000"/>
              </w:rPr>
            </w:pPr>
            <w:r>
              <w:rPr>
                <w:rFonts w:hint="eastAsia" w:ascii="宋体" w:hAnsi="宋体" w:eastAsia="宋体" w:cs="宋体"/>
                <w:color w:val="000000"/>
              </w:rPr>
              <w:t>1、材质：玻璃纤维</w:t>
            </w:r>
          </w:p>
          <w:p w14:paraId="04BFFF3E">
            <w:pPr>
              <w:pStyle w:val="279"/>
              <w:rPr>
                <w:rFonts w:hint="eastAsia" w:ascii="宋体" w:hAnsi="宋体" w:eastAsia="宋体" w:cs="宋体"/>
                <w:color w:val="000000"/>
              </w:rPr>
            </w:pPr>
            <w:r>
              <w:rPr>
                <w:rFonts w:hint="eastAsia" w:ascii="宋体" w:hAnsi="宋体" w:eastAsia="宋体" w:cs="宋体"/>
                <w:color w:val="000000"/>
              </w:rPr>
              <w:t>2、</w:t>
            </w:r>
            <w:bookmarkStart w:id="180" w:name="OLE_LINK2"/>
            <w:bookmarkStart w:id="181" w:name="OLE_LINK3"/>
            <w:r>
              <w:rPr>
                <w:rFonts w:hint="eastAsia" w:ascii="宋体" w:hAnsi="宋体" w:eastAsia="宋体" w:cs="宋体"/>
                <w:color w:val="000000"/>
              </w:rPr>
              <w:t>克重</w:t>
            </w:r>
            <w:bookmarkEnd w:id="180"/>
            <w:r>
              <w:rPr>
                <w:rFonts w:hint="eastAsia" w:ascii="宋体" w:hAnsi="宋体" w:eastAsia="宋体" w:cs="宋体"/>
                <w:color w:val="000000"/>
              </w:rPr>
              <w:t>：400-600g/㎡</w:t>
            </w:r>
            <w:bookmarkEnd w:id="181"/>
          </w:p>
          <w:p w14:paraId="1D2C686D">
            <w:pPr>
              <w:pStyle w:val="279"/>
              <w:rPr>
                <w:rFonts w:hint="eastAsia" w:ascii="宋体" w:hAnsi="宋体" w:eastAsia="宋体" w:cs="宋体"/>
                <w:color w:val="000000"/>
              </w:rPr>
            </w:pPr>
            <w:r>
              <w:rPr>
                <w:rFonts w:hint="eastAsia" w:ascii="宋体" w:hAnsi="宋体" w:eastAsia="宋体" w:cs="宋体"/>
                <w:color w:val="000000"/>
              </w:rPr>
              <w:t>3、拉力强度：经向1851.5，纬向1074.2</w:t>
            </w:r>
          </w:p>
          <w:p w14:paraId="1C746254">
            <w:pPr>
              <w:pStyle w:val="279"/>
              <w:rPr>
                <w:rFonts w:hint="eastAsia" w:ascii="宋体" w:hAnsi="宋体" w:eastAsia="宋体" w:cs="宋体"/>
                <w:color w:val="000000"/>
              </w:rPr>
            </w:pPr>
            <w:r>
              <w:rPr>
                <w:rFonts w:hint="eastAsia" w:ascii="宋体" w:hAnsi="宋体" w:eastAsia="宋体" w:cs="宋体"/>
                <w:color w:val="000000"/>
              </w:rPr>
              <w:t>4、防火温度：长期温度500°，瞬间最高可达800°</w:t>
            </w:r>
          </w:p>
          <w:p w14:paraId="53B7976D">
            <w:pPr>
              <w:pStyle w:val="279"/>
              <w:rPr>
                <w:rFonts w:hint="eastAsia" w:ascii="宋体" w:hAnsi="宋体" w:eastAsia="宋体" w:cs="宋体"/>
                <w:color w:val="000000"/>
              </w:rPr>
            </w:pPr>
            <w:r>
              <w:rPr>
                <w:rFonts w:hint="eastAsia" w:ascii="宋体" w:hAnsi="宋体" w:eastAsia="宋体" w:cs="宋体"/>
                <w:color w:val="000000"/>
              </w:rPr>
              <w:t>5、规格：6m*8m</w:t>
            </w:r>
          </w:p>
          <w:p w14:paraId="654DE063">
            <w:pPr>
              <w:pStyle w:val="279"/>
              <w:rPr>
                <w:rFonts w:hint="eastAsia" w:ascii="宋体" w:hAnsi="宋体" w:eastAsia="宋体" w:cs="宋体"/>
                <w:color w:val="000000"/>
              </w:rPr>
            </w:pPr>
            <w:r>
              <w:rPr>
                <w:rFonts w:hint="eastAsia" w:ascii="宋体" w:hAnsi="宋体" w:eastAsia="宋体" w:cs="宋体"/>
                <w:color w:val="000000"/>
              </w:rPr>
              <w:t>6、标准：XF1205-2014《灭火毯》</w:t>
            </w:r>
          </w:p>
          <w:p w14:paraId="5C7BC0BF">
            <w:pPr>
              <w:pStyle w:val="279"/>
              <w:rPr>
                <w:rFonts w:hint="eastAsia" w:ascii="宋体" w:hAnsi="宋体" w:eastAsia="宋体" w:cs="宋体"/>
                <w:color w:val="000000"/>
              </w:rPr>
            </w:pPr>
            <w:r>
              <w:rPr>
                <w:rFonts w:hint="eastAsia" w:ascii="宋体" w:hAnsi="宋体" w:eastAsia="宋体" w:cs="宋体"/>
                <w:color w:val="000000"/>
              </w:rPr>
              <w:t>7、特点：防火，阻燃，绝缘，耐高温。</w:t>
            </w:r>
          </w:p>
        </w:tc>
      </w:tr>
      <w:tr w14:paraId="2CE71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59F6922F">
            <w:pPr>
              <w:pStyle w:val="279"/>
              <w:jc w:val="both"/>
              <w:rPr>
                <w:rFonts w:ascii="宋体" w:hAnsi="宋体" w:eastAsia="宋体" w:cs="宋体"/>
                <w:color w:val="000000"/>
              </w:rPr>
            </w:pPr>
            <w:r>
              <w:rPr>
                <w:rFonts w:hint="eastAsia" w:ascii="宋体" w:hAnsi="宋体" w:eastAsia="宋体" w:cs="宋体"/>
                <w:color w:val="000000"/>
              </w:rPr>
              <w:t>14</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6A47F58">
            <w:pPr>
              <w:pStyle w:val="279"/>
              <w:jc w:val="center"/>
              <w:rPr>
                <w:rFonts w:ascii="宋体" w:hAnsi="宋体" w:eastAsia="宋体" w:cs="宋体"/>
                <w:color w:val="000000"/>
                <w:lang w:bidi="ar"/>
              </w:rPr>
            </w:pPr>
            <w:r>
              <w:rPr>
                <w:rFonts w:hint="eastAsia" w:ascii="宋体" w:hAnsi="宋体" w:eastAsia="宋体" w:cs="宋体"/>
                <w:color w:val="000000"/>
                <w:lang w:bidi="ar"/>
              </w:rPr>
              <w:t>消防器材柜</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6B385F4F">
            <w:pPr>
              <w:pStyle w:val="279"/>
              <w:rPr>
                <w:rFonts w:hint="eastAsia" w:ascii="宋体" w:hAnsi="宋体" w:eastAsia="宋体" w:cs="宋体"/>
                <w:color w:val="000000"/>
              </w:rPr>
            </w:pPr>
            <w:r>
              <w:rPr>
                <w:rFonts w:hint="eastAsia" w:ascii="宋体" w:hAnsi="宋体" w:eastAsia="宋体" w:cs="宋体"/>
                <w:color w:val="000000"/>
              </w:rPr>
              <w:t>尺寸≥800mm*600mm*250mm</w:t>
            </w:r>
          </w:p>
        </w:tc>
      </w:tr>
      <w:tr w14:paraId="681F5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trPr>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4A89502">
            <w:pPr>
              <w:pStyle w:val="279"/>
              <w:jc w:val="both"/>
              <w:rPr>
                <w:rFonts w:ascii="宋体" w:hAnsi="宋体" w:eastAsia="宋体" w:cs="宋体"/>
                <w:color w:val="000000"/>
              </w:rPr>
            </w:pPr>
            <w:r>
              <w:rPr>
                <w:rFonts w:hint="eastAsia" w:ascii="宋体" w:hAnsi="宋体" w:eastAsia="宋体" w:cs="宋体"/>
                <w:color w:val="000000"/>
              </w:rPr>
              <w:t>15</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70F08890">
            <w:pPr>
              <w:pStyle w:val="279"/>
              <w:jc w:val="center"/>
              <w:rPr>
                <w:rFonts w:ascii="宋体" w:hAnsi="宋体" w:eastAsia="宋体" w:cs="宋体"/>
                <w:color w:val="000000"/>
                <w:lang w:bidi="ar"/>
              </w:rPr>
            </w:pPr>
            <w:r>
              <w:rPr>
                <w:rFonts w:hint="eastAsia" w:ascii="宋体" w:hAnsi="宋体" w:eastAsia="宋体" w:cs="宋体"/>
                <w:color w:val="000000"/>
                <w:lang w:bidi="ar"/>
              </w:rPr>
              <w:t>防冲撞柱</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3C27B9DF">
            <w:pPr>
              <w:pStyle w:val="14"/>
              <w:ind w:firstLine="0"/>
              <w:rPr>
                <w:rFonts w:ascii="宋体" w:hAnsi="宋体" w:cs="宋体"/>
                <w:color w:val="000000"/>
              </w:rPr>
            </w:pPr>
            <w:r>
              <w:rPr>
                <w:sz w:val="24"/>
              </w:rPr>
              <w:t>镀锌钢管、抛丸除锈+静电喷塑、尺寸：114mm（粗）×500mm（高）×1.5mm（厚度）。</w:t>
            </w:r>
          </w:p>
        </w:tc>
      </w:tr>
      <w:tr w14:paraId="1AFC5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8"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051F23F6">
            <w:pPr>
              <w:pStyle w:val="279"/>
              <w:jc w:val="both"/>
              <w:rPr>
                <w:rFonts w:ascii="宋体" w:hAnsi="宋体" w:eastAsia="宋体" w:cs="宋体"/>
                <w:color w:val="000000"/>
              </w:rPr>
            </w:pPr>
            <w:r>
              <w:rPr>
                <w:rFonts w:hint="eastAsia" w:ascii="宋体" w:hAnsi="宋体" w:eastAsia="宋体" w:cs="宋体"/>
                <w:color w:val="000000"/>
              </w:rPr>
              <w:t>16</w:t>
            </w:r>
          </w:p>
        </w:tc>
        <w:tc>
          <w:tcPr>
            <w:tcW w:w="747"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46852098">
            <w:pPr>
              <w:pStyle w:val="279"/>
              <w:jc w:val="center"/>
              <w:rPr>
                <w:rFonts w:ascii="宋体" w:hAnsi="宋体" w:eastAsia="宋体" w:cs="宋体"/>
                <w:color w:val="000000"/>
                <w:lang w:bidi="ar"/>
              </w:rPr>
            </w:pPr>
            <w:r>
              <w:rPr>
                <w:rFonts w:hint="eastAsia" w:ascii="宋体" w:hAnsi="宋体" w:eastAsia="宋体" w:cs="宋体"/>
                <w:color w:val="000000"/>
                <w:lang w:bidi="ar"/>
              </w:rPr>
              <w:t>运输安装调试</w:t>
            </w:r>
          </w:p>
        </w:tc>
        <w:tc>
          <w:tcPr>
            <w:tcW w:w="3964" w:type="pct"/>
            <w:tcBorders>
              <w:top w:val="single" w:color="000000" w:sz="2" w:space="0"/>
              <w:left w:val="single" w:color="000000" w:sz="2" w:space="0"/>
              <w:bottom w:val="single" w:color="000000" w:sz="2" w:space="0"/>
              <w:right w:val="single" w:color="000000" w:sz="2" w:space="0"/>
            </w:tcBorders>
            <w:tcMar>
              <w:top w:w="100" w:type="dxa"/>
              <w:bottom w:w="100" w:type="dxa"/>
            </w:tcMar>
            <w:vAlign w:val="center"/>
          </w:tcPr>
          <w:p w14:paraId="240E15A0">
            <w:pPr>
              <w:pStyle w:val="279"/>
              <w:rPr>
                <w:rFonts w:ascii="宋体" w:hAnsi="宋体" w:eastAsia="宋体" w:cs="宋体"/>
                <w:color w:val="000000"/>
              </w:rPr>
            </w:pPr>
            <w:r>
              <w:rPr>
                <w:rFonts w:hint="eastAsia" w:ascii="宋体" w:hAnsi="宋体" w:eastAsia="宋体" w:cs="宋体"/>
                <w:color w:val="000000"/>
              </w:rPr>
              <w:t>包含本项目所有相关设备器材的的运输费用及安装调试所需的费用。</w:t>
            </w:r>
          </w:p>
        </w:tc>
      </w:tr>
    </w:tbl>
    <w:p w14:paraId="5238E74D">
      <w:pPr>
        <w:ind w:firstLine="482"/>
        <w:rPr>
          <w:bCs/>
          <w:sz w:val="24"/>
        </w:rPr>
      </w:pPr>
      <w:r>
        <w:rPr>
          <w:b/>
          <w:sz w:val="24"/>
        </w:rPr>
        <w:t>（三）实施要求</w:t>
      </w:r>
    </w:p>
    <w:p w14:paraId="3F077D74">
      <w:pPr>
        <w:pStyle w:val="245"/>
        <w:spacing w:line="440" w:lineRule="exact"/>
        <w:ind w:firstLine="480"/>
        <w:jc w:val="both"/>
        <w:rPr>
          <w:rFonts w:eastAsia="宋体"/>
        </w:rPr>
      </w:pPr>
      <w:r>
        <w:rPr>
          <w:rFonts w:eastAsia="宋体"/>
        </w:rPr>
        <w:t>1、质量要求：投标单位应严格按照招标文件的有关规定提供合格商品，保证货物为全新、未使用的原装正品。投标单位提供的所有产品其质量必须符合产品国家标准或行业标准，并符合出厂检验标准。</w:t>
      </w:r>
    </w:p>
    <w:p w14:paraId="23025CDA">
      <w:pPr>
        <w:pStyle w:val="245"/>
        <w:spacing w:line="440" w:lineRule="exact"/>
        <w:ind w:firstLine="480"/>
        <w:jc w:val="both"/>
        <w:rPr>
          <w:rFonts w:eastAsia="宋体"/>
          <w:i/>
          <w:iCs/>
          <w:u w:val="single"/>
        </w:rPr>
      </w:pPr>
      <w:r>
        <w:rPr>
          <w:rFonts w:hint="eastAsia" w:ascii="宋体" w:hAnsi="宋体" w:eastAsia="宋体" w:cs="宋体"/>
          <w:i/>
          <w:iCs/>
          <w:color w:val="000000"/>
          <w:u w:val="single"/>
        </w:rPr>
        <w:t>2、中标单位提供的智能烟感必须具有中国国家强制性产品认证证书，符合国家CCC认证标准（供货前需要向采购方提供相关认证证书证明材料，证明材料必须与所供产品一致。若发现不一致或者不合格的，应当要求中标单位在规定时间内整改到位，整改不到位的，采购人有权终止合同，所产生的损失由中标单位承担</w:t>
      </w:r>
      <w:r>
        <w:rPr>
          <w:rFonts w:hint="eastAsia" w:ascii="宋体" w:hAnsi="宋体" w:cs="宋体"/>
          <w:i/>
          <w:iCs/>
          <w:color w:val="000000"/>
          <w:u w:val="single"/>
        </w:rPr>
        <w:t>）</w:t>
      </w:r>
      <w:r>
        <w:rPr>
          <w:rFonts w:hint="eastAsia" w:ascii="宋体" w:hAnsi="宋体" w:eastAsia="宋体" w:cs="宋体"/>
          <w:i/>
          <w:iCs/>
          <w:color w:val="000000"/>
          <w:u w:val="single"/>
        </w:rPr>
        <w:t>。</w:t>
      </w:r>
    </w:p>
    <w:p w14:paraId="322BCBD3">
      <w:pPr>
        <w:pStyle w:val="245"/>
        <w:spacing w:line="440" w:lineRule="exact"/>
        <w:ind w:firstLine="480"/>
        <w:jc w:val="both"/>
        <w:rPr>
          <w:rFonts w:eastAsia="宋体"/>
          <w:i/>
          <w:iCs/>
          <w:u w:val="single"/>
        </w:rPr>
      </w:pPr>
      <w:r>
        <w:rPr>
          <w:rFonts w:hint="eastAsia" w:eastAsia="宋体"/>
          <w:i/>
          <w:iCs/>
          <w:u w:val="single"/>
        </w:rPr>
        <w:t>3、投标人须承诺配合区镇、社区、村委和物业完成本项目分层分级的监控调试、部署和对接（请在投标文件中提供承诺函，格式自拟）。</w:t>
      </w:r>
    </w:p>
    <w:p w14:paraId="12188A7C">
      <w:pPr>
        <w:pStyle w:val="245"/>
        <w:spacing w:line="440" w:lineRule="exact"/>
        <w:ind w:firstLine="480"/>
        <w:jc w:val="both"/>
        <w:rPr>
          <w:rFonts w:eastAsia="宋体"/>
          <w:i/>
          <w:iCs/>
          <w:u w:val="single"/>
        </w:rPr>
      </w:pPr>
      <w:r>
        <w:rPr>
          <w:rFonts w:hint="eastAsia" w:eastAsia="宋体"/>
          <w:i/>
          <w:iCs/>
          <w:u w:val="single"/>
        </w:rPr>
        <w:t>4</w:t>
      </w:r>
      <w:r>
        <w:rPr>
          <w:rFonts w:eastAsia="宋体"/>
          <w:i/>
          <w:iCs/>
          <w:u w:val="single"/>
        </w:rPr>
        <w:t>、安装设备所需的运输费用、搬运设备所需的人工费用及其他设备安装所需的费用及安装调试期内、质保维护期内的所有设施设备产生的电费由中标单位承担。</w:t>
      </w:r>
    </w:p>
    <w:p w14:paraId="690B8EC3">
      <w:pPr>
        <w:pStyle w:val="245"/>
        <w:spacing w:line="440" w:lineRule="exact"/>
        <w:ind w:firstLine="480"/>
        <w:jc w:val="both"/>
        <w:rPr>
          <w:rFonts w:eastAsia="宋体"/>
        </w:rPr>
      </w:pPr>
      <w:r>
        <w:rPr>
          <w:rFonts w:hint="eastAsia" w:eastAsia="宋体"/>
        </w:rPr>
        <w:t>5</w:t>
      </w:r>
      <w:r>
        <w:rPr>
          <w:rFonts w:eastAsia="宋体"/>
        </w:rPr>
        <w:t>、要求提供维修和保养服务、培训服务。标明保修期后的具体维修维护事宜。</w:t>
      </w:r>
    </w:p>
    <w:p w14:paraId="5C1E10BB">
      <w:pPr>
        <w:pStyle w:val="245"/>
        <w:spacing w:line="440" w:lineRule="exact"/>
        <w:ind w:firstLine="480"/>
        <w:jc w:val="both"/>
        <w:rPr>
          <w:rFonts w:eastAsia="宋体"/>
        </w:rPr>
      </w:pPr>
      <w:r>
        <w:rPr>
          <w:rFonts w:hint="eastAsia" w:eastAsia="宋体"/>
        </w:rPr>
        <w:t>6</w:t>
      </w:r>
      <w:r>
        <w:rPr>
          <w:rFonts w:eastAsia="宋体"/>
        </w:rPr>
        <w:t>、现场培训：项目安装调试验收结束后，由专业技术工程师进行免费现场技术培训，列出培训计划。</w:t>
      </w:r>
    </w:p>
    <w:p w14:paraId="146D149B">
      <w:pPr>
        <w:pStyle w:val="245"/>
        <w:spacing w:line="440" w:lineRule="exact"/>
        <w:ind w:firstLine="480"/>
        <w:jc w:val="both"/>
        <w:rPr>
          <w:rFonts w:eastAsia="宋体"/>
        </w:rPr>
      </w:pPr>
      <w:r>
        <w:rPr>
          <w:rFonts w:eastAsia="宋体"/>
        </w:rPr>
        <w:t>（1）基本使操作人员达到能独立进行设备的操作使用；</w:t>
      </w:r>
    </w:p>
    <w:p w14:paraId="3207D23E">
      <w:pPr>
        <w:pStyle w:val="245"/>
        <w:spacing w:line="440" w:lineRule="exact"/>
        <w:ind w:firstLine="480"/>
        <w:jc w:val="both"/>
        <w:rPr>
          <w:rFonts w:eastAsia="宋体"/>
        </w:rPr>
      </w:pPr>
      <w:r>
        <w:rPr>
          <w:rFonts w:eastAsia="宋体"/>
        </w:rPr>
        <w:t>（2）能独立进行设备的日常维护和常见故障的解决。培训费用已包含在设备总价款内。</w:t>
      </w:r>
    </w:p>
    <w:p w14:paraId="07AA4981">
      <w:pPr>
        <w:pStyle w:val="245"/>
        <w:spacing w:line="440" w:lineRule="exact"/>
        <w:ind w:firstLine="480"/>
        <w:jc w:val="both"/>
        <w:rPr>
          <w:rFonts w:eastAsia="宋体"/>
        </w:rPr>
      </w:pPr>
      <w:r>
        <w:rPr>
          <w:rFonts w:hint="eastAsia" w:eastAsia="宋体"/>
        </w:rPr>
        <w:t>7、合同签订前，项目团队人员</w:t>
      </w:r>
      <w:r>
        <w:rPr>
          <w:rFonts w:eastAsia="宋体"/>
        </w:rPr>
        <w:t>应向采购人提供本人身份证</w:t>
      </w:r>
      <w:r>
        <w:rPr>
          <w:rFonts w:hint="eastAsia" w:eastAsia="宋体"/>
        </w:rPr>
        <w:t>及相关证书进行查验备案。</w:t>
      </w:r>
    </w:p>
    <w:p w14:paraId="369A7F93">
      <w:pPr>
        <w:pStyle w:val="245"/>
        <w:spacing w:line="440" w:lineRule="exact"/>
        <w:ind w:firstLine="480"/>
        <w:jc w:val="both"/>
        <w:rPr>
          <w:rFonts w:eastAsia="宋体"/>
        </w:rPr>
      </w:pPr>
      <w:r>
        <w:rPr>
          <w:rFonts w:hint="eastAsia" w:eastAsia="宋体"/>
        </w:rPr>
        <w:t>8</w:t>
      </w:r>
      <w:r>
        <w:rPr>
          <w:rFonts w:eastAsia="宋体"/>
        </w:rPr>
        <w:t>、验收：</w:t>
      </w:r>
    </w:p>
    <w:p w14:paraId="0B7C19A4">
      <w:pPr>
        <w:pStyle w:val="245"/>
        <w:spacing w:line="440" w:lineRule="exact"/>
        <w:ind w:firstLine="480"/>
        <w:jc w:val="both"/>
        <w:rPr>
          <w:rFonts w:eastAsia="宋体"/>
        </w:rPr>
      </w:pPr>
      <w:r>
        <w:rPr>
          <w:rFonts w:eastAsia="宋体"/>
        </w:rPr>
        <w:t>（1）产品配置必须原厂出厂时全部自带，所有设备外包装箱不得自行拆封，包装箱上所有标签等不得涂改或撕毁，否则采购单位有权拒绝验收；</w:t>
      </w:r>
    </w:p>
    <w:p w14:paraId="47AE1942">
      <w:pPr>
        <w:pStyle w:val="245"/>
        <w:spacing w:line="440" w:lineRule="exact"/>
        <w:ind w:firstLine="480"/>
        <w:jc w:val="both"/>
        <w:rPr>
          <w:rFonts w:eastAsia="宋体"/>
        </w:rPr>
      </w:pPr>
      <w:r>
        <w:rPr>
          <w:rFonts w:eastAsia="宋体"/>
        </w:rPr>
        <w:t>（2）符合设备本身的规格、技术条件及中标人承诺的其它指标。</w:t>
      </w:r>
    </w:p>
    <w:p w14:paraId="11652E08">
      <w:pPr>
        <w:pStyle w:val="245"/>
        <w:spacing w:line="440" w:lineRule="exact"/>
        <w:ind w:firstLine="480"/>
        <w:jc w:val="both"/>
        <w:rPr>
          <w:rFonts w:eastAsia="宋体"/>
        </w:rPr>
      </w:pPr>
      <w:r>
        <w:rPr>
          <w:rFonts w:eastAsia="宋体"/>
        </w:rPr>
        <w:t>（3）验收标准：根据招标文件、中标人的投标文件、承诺及国家相关标准为准进行质量验收。</w:t>
      </w:r>
    </w:p>
    <w:p w14:paraId="20D6F794">
      <w:pPr>
        <w:pStyle w:val="245"/>
        <w:spacing w:line="440" w:lineRule="exact"/>
        <w:ind w:firstLine="480"/>
        <w:jc w:val="both"/>
        <w:rPr>
          <w:rFonts w:eastAsia="宋体"/>
        </w:rPr>
      </w:pPr>
      <w:r>
        <w:rPr>
          <w:rFonts w:hint="eastAsia" w:eastAsia="宋体"/>
        </w:rPr>
        <w:t>9、安全责任</w:t>
      </w:r>
    </w:p>
    <w:p w14:paraId="46174057">
      <w:pPr>
        <w:pStyle w:val="245"/>
        <w:spacing w:line="440" w:lineRule="exact"/>
        <w:ind w:firstLine="480"/>
        <w:jc w:val="both"/>
        <w:rPr>
          <w:rFonts w:eastAsia="宋体"/>
          <w:i/>
          <w:iCs/>
          <w:u w:val="single"/>
        </w:rPr>
      </w:pPr>
      <w:r>
        <w:rPr>
          <w:rFonts w:hint="eastAsia" w:eastAsia="宋体"/>
          <w:i/>
          <w:iCs/>
          <w:u w:val="single"/>
        </w:rPr>
        <w:t>（1）项目实施</w:t>
      </w:r>
      <w:r>
        <w:rPr>
          <w:rFonts w:eastAsia="宋体"/>
          <w:i/>
          <w:iCs/>
          <w:u w:val="single"/>
        </w:rPr>
        <w:t>期间涉及安全</w:t>
      </w:r>
      <w:r>
        <w:rPr>
          <w:rFonts w:hint="eastAsia" w:eastAsia="宋体"/>
          <w:i/>
          <w:iCs/>
          <w:u w:val="single"/>
        </w:rPr>
        <w:t>事故及其他事故、人员纠纷等都</w:t>
      </w:r>
      <w:r>
        <w:rPr>
          <w:rFonts w:eastAsia="宋体"/>
          <w:i/>
          <w:iCs/>
          <w:u w:val="single"/>
        </w:rPr>
        <w:t>由</w:t>
      </w:r>
      <w:r>
        <w:rPr>
          <w:rFonts w:hint="eastAsia" w:eastAsia="宋体"/>
          <w:i/>
          <w:iCs/>
          <w:u w:val="single"/>
        </w:rPr>
        <w:t>中标人</w:t>
      </w:r>
      <w:r>
        <w:rPr>
          <w:rFonts w:eastAsia="宋体"/>
          <w:i/>
          <w:iCs/>
          <w:u w:val="single"/>
        </w:rPr>
        <w:t>负责，涉及</w:t>
      </w:r>
      <w:r>
        <w:rPr>
          <w:rFonts w:hint="eastAsia" w:eastAsia="宋体"/>
          <w:i/>
          <w:iCs/>
          <w:u w:val="single"/>
        </w:rPr>
        <w:t>处理相关事项</w:t>
      </w:r>
      <w:r>
        <w:rPr>
          <w:rFonts w:eastAsia="宋体"/>
          <w:i/>
          <w:iCs/>
          <w:u w:val="single"/>
        </w:rPr>
        <w:t>所产生的相关费用一律由</w:t>
      </w:r>
      <w:r>
        <w:rPr>
          <w:rFonts w:hint="eastAsia" w:eastAsia="宋体"/>
          <w:i/>
          <w:iCs/>
          <w:u w:val="single"/>
        </w:rPr>
        <w:t>中标人</w:t>
      </w:r>
      <w:r>
        <w:rPr>
          <w:rFonts w:eastAsia="宋体"/>
          <w:i/>
          <w:iCs/>
          <w:u w:val="single"/>
        </w:rPr>
        <w:t>承担</w:t>
      </w:r>
      <w:r>
        <w:rPr>
          <w:rFonts w:hint="eastAsia" w:eastAsia="宋体"/>
          <w:i/>
          <w:iCs/>
          <w:u w:val="single"/>
        </w:rPr>
        <w:t>；施工期间中标人负责现场安全管理；</w:t>
      </w:r>
      <w:r>
        <w:rPr>
          <w:rFonts w:eastAsia="宋体"/>
          <w:i/>
          <w:iCs/>
          <w:u w:val="single"/>
        </w:rPr>
        <w:t>在</w:t>
      </w:r>
      <w:r>
        <w:rPr>
          <w:rFonts w:hint="eastAsia" w:eastAsia="宋体"/>
          <w:i/>
          <w:iCs/>
          <w:u w:val="single"/>
        </w:rPr>
        <w:t>实施</w:t>
      </w:r>
      <w:r>
        <w:rPr>
          <w:rFonts w:eastAsia="宋体"/>
          <w:i/>
          <w:iCs/>
          <w:u w:val="single"/>
        </w:rPr>
        <w:t>期间</w:t>
      </w:r>
      <w:r>
        <w:rPr>
          <w:rFonts w:hint="eastAsia" w:eastAsia="宋体"/>
          <w:i/>
          <w:iCs/>
          <w:u w:val="single"/>
        </w:rPr>
        <w:t>中标人</w:t>
      </w:r>
      <w:r>
        <w:rPr>
          <w:rFonts w:eastAsia="宋体"/>
          <w:i/>
          <w:iCs/>
          <w:u w:val="single"/>
        </w:rPr>
        <w:t>应制定项目安全实施管理措施，并严格遵守安全管理要求，</w:t>
      </w:r>
      <w:r>
        <w:rPr>
          <w:rFonts w:hint="eastAsia" w:eastAsia="宋体"/>
          <w:i/>
          <w:iCs/>
          <w:u w:val="single"/>
        </w:rPr>
        <w:t>中标人</w:t>
      </w:r>
      <w:r>
        <w:rPr>
          <w:rFonts w:eastAsia="宋体"/>
          <w:i/>
          <w:iCs/>
          <w:u w:val="single"/>
        </w:rPr>
        <w:t>在项目服务过程中因管理不当、维护措施不当等因素或不按安全管理要求</w:t>
      </w:r>
      <w:r>
        <w:rPr>
          <w:rFonts w:hint="eastAsia" w:eastAsia="宋体"/>
          <w:i/>
          <w:iCs/>
          <w:u w:val="single"/>
        </w:rPr>
        <w:t>等情况</w:t>
      </w:r>
      <w:r>
        <w:rPr>
          <w:rFonts w:eastAsia="宋体"/>
          <w:i/>
          <w:iCs/>
          <w:u w:val="single"/>
        </w:rPr>
        <w:t>，造成人员安全或财产损失事故的，其责任均由</w:t>
      </w:r>
      <w:r>
        <w:rPr>
          <w:rFonts w:hint="eastAsia" w:eastAsia="宋体"/>
          <w:i/>
          <w:iCs/>
          <w:u w:val="single"/>
        </w:rPr>
        <w:t>中标人</w:t>
      </w:r>
      <w:r>
        <w:rPr>
          <w:rFonts w:eastAsia="宋体"/>
          <w:i/>
          <w:iCs/>
          <w:u w:val="single"/>
        </w:rPr>
        <w:t>自行承担，</w:t>
      </w:r>
      <w:r>
        <w:rPr>
          <w:rFonts w:hint="eastAsia" w:eastAsia="宋体"/>
          <w:i/>
          <w:iCs/>
          <w:u w:val="single"/>
        </w:rPr>
        <w:t>采购人</w:t>
      </w:r>
      <w:r>
        <w:rPr>
          <w:rFonts w:eastAsia="宋体"/>
          <w:i/>
          <w:iCs/>
          <w:u w:val="single"/>
        </w:rPr>
        <w:t>不承担责任。与本项目有关的所有质量、安全问题均由</w:t>
      </w:r>
      <w:r>
        <w:rPr>
          <w:rFonts w:hint="eastAsia" w:eastAsia="宋体"/>
          <w:i/>
          <w:iCs/>
          <w:u w:val="single"/>
        </w:rPr>
        <w:t>中标人</w:t>
      </w:r>
      <w:r>
        <w:rPr>
          <w:rFonts w:eastAsia="宋体"/>
          <w:i/>
          <w:iCs/>
          <w:u w:val="single"/>
        </w:rPr>
        <w:t>负责，如因上述原因造成的一切后果均由</w:t>
      </w:r>
      <w:r>
        <w:rPr>
          <w:rFonts w:hint="eastAsia" w:eastAsia="宋体"/>
          <w:i/>
          <w:iCs/>
          <w:u w:val="single"/>
        </w:rPr>
        <w:t>中标人</w:t>
      </w:r>
      <w:r>
        <w:rPr>
          <w:rFonts w:eastAsia="宋体"/>
          <w:i/>
          <w:iCs/>
          <w:u w:val="single"/>
        </w:rPr>
        <w:t>自行承担，与他人无涉。</w:t>
      </w:r>
    </w:p>
    <w:p w14:paraId="6708CA16">
      <w:pPr>
        <w:pStyle w:val="245"/>
        <w:spacing w:line="440" w:lineRule="exact"/>
        <w:ind w:firstLine="480"/>
        <w:jc w:val="both"/>
        <w:rPr>
          <w:rFonts w:eastAsia="宋体"/>
          <w:i/>
          <w:iCs/>
          <w:u w:val="single"/>
        </w:rPr>
      </w:pPr>
      <w:r>
        <w:rPr>
          <w:rFonts w:hint="eastAsia" w:eastAsia="宋体"/>
          <w:i/>
          <w:iCs/>
          <w:u w:val="single"/>
        </w:rPr>
        <w:t>（2）项目</w:t>
      </w:r>
      <w:r>
        <w:rPr>
          <w:rFonts w:eastAsia="宋体"/>
          <w:i/>
          <w:iCs/>
          <w:u w:val="single"/>
        </w:rPr>
        <w:t>未交付之前，</w:t>
      </w:r>
      <w:r>
        <w:rPr>
          <w:rFonts w:hint="eastAsia" w:eastAsia="宋体"/>
          <w:i/>
          <w:iCs/>
          <w:u w:val="single"/>
        </w:rPr>
        <w:t>中标人</w:t>
      </w:r>
      <w:r>
        <w:rPr>
          <w:rFonts w:eastAsia="宋体"/>
          <w:i/>
          <w:iCs/>
          <w:u w:val="single"/>
        </w:rPr>
        <w:t>应自始至终对成品进行保护和防止丢失</w:t>
      </w:r>
      <w:r>
        <w:rPr>
          <w:rFonts w:hint="eastAsia" w:eastAsia="宋体"/>
          <w:i/>
          <w:iCs/>
          <w:u w:val="single"/>
        </w:rPr>
        <w:t>。</w:t>
      </w:r>
    </w:p>
    <w:p w14:paraId="5ED1F879">
      <w:pPr>
        <w:ind w:firstLine="482"/>
        <w:rPr>
          <w:b/>
          <w:sz w:val="24"/>
        </w:rPr>
      </w:pPr>
      <w:r>
        <w:rPr>
          <w:rFonts w:hint="eastAsia"/>
          <w:b/>
          <w:sz w:val="24"/>
        </w:rPr>
        <w:t>（四）其他要求</w:t>
      </w:r>
    </w:p>
    <w:p w14:paraId="722815F8">
      <w:pPr>
        <w:ind w:firstLine="482"/>
        <w:rPr>
          <w:b/>
          <w:bCs/>
          <w:iCs/>
          <w:sz w:val="24"/>
        </w:rPr>
      </w:pPr>
      <w:r>
        <w:rPr>
          <w:b/>
          <w:bCs/>
          <w:iCs/>
          <w:sz w:val="24"/>
        </w:rPr>
        <w:t>1．服务方案要求</w:t>
      </w:r>
    </w:p>
    <w:p w14:paraId="2ACA5001">
      <w:pPr>
        <w:ind w:firstLine="480"/>
        <w:rPr>
          <w:iCs/>
          <w:sz w:val="24"/>
        </w:rPr>
      </w:pPr>
      <w:r>
        <w:rPr>
          <w:iCs/>
          <w:sz w:val="24"/>
        </w:rPr>
        <w:t>（1）投标人需在投标文件中提供</w:t>
      </w:r>
      <w:r>
        <w:rPr>
          <w:rFonts w:hint="eastAsia"/>
          <w:iCs/>
          <w:sz w:val="24"/>
        </w:rPr>
        <w:t>实施方案</w:t>
      </w:r>
      <w:r>
        <w:rPr>
          <w:iCs/>
          <w:sz w:val="24"/>
        </w:rPr>
        <w:t>，方案内容包含项目实施组织规划、实施进度计划、安全保证措施、质量保证措施、进度保证措施、难点解决方案等。</w:t>
      </w:r>
    </w:p>
    <w:p w14:paraId="5816DBC9">
      <w:pPr>
        <w:ind w:firstLine="480"/>
        <w:rPr>
          <w:iCs/>
          <w:sz w:val="24"/>
        </w:rPr>
      </w:pPr>
      <w:r>
        <w:rPr>
          <w:iCs/>
          <w:sz w:val="24"/>
        </w:rPr>
        <w:t>（2）投标人需在投标文件中提供培训方案，方案内容包含培训计划、培训对象、时间等。</w:t>
      </w:r>
    </w:p>
    <w:p w14:paraId="360D5D10">
      <w:pPr>
        <w:ind w:firstLine="480"/>
      </w:pPr>
      <w:r>
        <w:rPr>
          <w:iCs/>
          <w:sz w:val="24"/>
        </w:rPr>
        <w:t>（3）投标人需在投标文件中提供整体运维方案</w:t>
      </w:r>
      <w:r>
        <w:rPr>
          <w:sz w:val="24"/>
        </w:rPr>
        <w:t>，方案内容包含运维保障服务、运维制度、运维保障体系、维保计划等。</w:t>
      </w:r>
    </w:p>
    <w:p w14:paraId="3865D678">
      <w:pPr>
        <w:ind w:firstLine="480"/>
        <w:rPr>
          <w:iCs/>
          <w:sz w:val="24"/>
        </w:rPr>
      </w:pPr>
      <w:r>
        <w:rPr>
          <w:iCs/>
          <w:sz w:val="24"/>
        </w:rPr>
        <w:t>（</w:t>
      </w:r>
      <w:r>
        <w:rPr>
          <w:rFonts w:hint="eastAsia"/>
          <w:iCs/>
          <w:sz w:val="24"/>
        </w:rPr>
        <w:t>4</w:t>
      </w:r>
      <w:r>
        <w:rPr>
          <w:iCs/>
          <w:sz w:val="24"/>
        </w:rPr>
        <w:t>）投标人需在投标文件中提供</w:t>
      </w:r>
      <w:r>
        <w:rPr>
          <w:rFonts w:hint="eastAsia"/>
          <w:iCs/>
          <w:sz w:val="24"/>
        </w:rPr>
        <w:t>售后</w:t>
      </w:r>
      <w:r>
        <w:rPr>
          <w:iCs/>
          <w:sz w:val="24"/>
        </w:rPr>
        <w:t>方案</w:t>
      </w:r>
      <w:r>
        <w:rPr>
          <w:sz w:val="24"/>
        </w:rPr>
        <w:t>，方案内容包含</w:t>
      </w:r>
      <w:r>
        <w:rPr>
          <w:bCs/>
          <w:spacing w:val="7"/>
          <w:sz w:val="24"/>
        </w:rPr>
        <w:t>定期巡检、响应时间、故障排除时间、保修计划、服务措施等</w:t>
      </w:r>
      <w:r>
        <w:rPr>
          <w:sz w:val="24"/>
        </w:rPr>
        <w:t>。</w:t>
      </w:r>
    </w:p>
    <w:p w14:paraId="2AE86574">
      <w:pPr>
        <w:ind w:firstLine="480"/>
        <w:rPr>
          <w:bCs/>
          <w:spacing w:val="7"/>
          <w:sz w:val="24"/>
        </w:rPr>
      </w:pPr>
      <w:r>
        <w:rPr>
          <w:iCs/>
          <w:sz w:val="24"/>
        </w:rPr>
        <w:t>（</w:t>
      </w:r>
      <w:r>
        <w:rPr>
          <w:rFonts w:hint="eastAsia"/>
          <w:iCs/>
          <w:sz w:val="24"/>
        </w:rPr>
        <w:t>5</w:t>
      </w:r>
      <w:r>
        <w:rPr>
          <w:iCs/>
          <w:sz w:val="24"/>
        </w:rPr>
        <w:t>）投标人需在投标文件中提供应急保障方案，</w:t>
      </w:r>
      <w:r>
        <w:rPr>
          <w:sz w:val="24"/>
        </w:rPr>
        <w:t>方案内容包含</w:t>
      </w:r>
      <w:r>
        <w:rPr>
          <w:bCs/>
          <w:spacing w:val="7"/>
          <w:sz w:val="24"/>
        </w:rPr>
        <w:t>应急行动、应急措施</w:t>
      </w:r>
      <w:r>
        <w:rPr>
          <w:rFonts w:hint="eastAsia"/>
          <w:bCs/>
          <w:spacing w:val="7"/>
          <w:sz w:val="24"/>
        </w:rPr>
        <w:t>、</w:t>
      </w:r>
      <w:r>
        <w:rPr>
          <w:bCs/>
          <w:spacing w:val="7"/>
          <w:sz w:val="24"/>
        </w:rPr>
        <w:t>应急演练和应急保障等。</w:t>
      </w:r>
    </w:p>
    <w:p w14:paraId="454A3266">
      <w:pPr>
        <w:ind w:firstLine="482"/>
        <w:rPr>
          <w:b/>
          <w:bCs/>
          <w:iCs/>
          <w:sz w:val="24"/>
        </w:rPr>
      </w:pPr>
      <w:r>
        <w:rPr>
          <w:rFonts w:hint="eastAsia"/>
          <w:b/>
          <w:bCs/>
          <w:iCs/>
          <w:sz w:val="24"/>
        </w:rPr>
        <w:t xml:space="preserve">2. </w:t>
      </w:r>
      <w:r>
        <w:rPr>
          <w:b/>
          <w:bCs/>
          <w:iCs/>
          <w:sz w:val="24"/>
        </w:rPr>
        <w:t>人员配备</w:t>
      </w:r>
    </w:p>
    <w:p w14:paraId="77B49D97">
      <w:pPr>
        <w:ind w:firstLine="480"/>
        <w:rPr>
          <w:iCs/>
          <w:sz w:val="24"/>
        </w:rPr>
      </w:pPr>
      <w:r>
        <w:rPr>
          <w:rFonts w:hint="eastAsia"/>
          <w:iCs/>
          <w:sz w:val="24"/>
        </w:rPr>
        <w:t>（1）</w:t>
      </w:r>
      <w:r>
        <w:rPr>
          <w:iCs/>
          <w:sz w:val="24"/>
        </w:rPr>
        <w:t>人员配备要求：</w:t>
      </w:r>
    </w:p>
    <w:p w14:paraId="60DB31B8">
      <w:pPr>
        <w:ind w:firstLine="480"/>
        <w:rPr>
          <w:iCs/>
          <w:sz w:val="24"/>
        </w:rPr>
      </w:pPr>
      <w:r>
        <w:rPr>
          <w:rFonts w:hint="eastAsia"/>
          <w:iCs/>
          <w:sz w:val="24"/>
        </w:rPr>
        <w:t xml:space="preserve">① </w:t>
      </w:r>
      <w:r>
        <w:rPr>
          <w:iCs/>
          <w:sz w:val="24"/>
        </w:rPr>
        <w:t>投标人拟投入本项目的项目经理</w:t>
      </w:r>
      <w:r>
        <w:rPr>
          <w:rFonts w:hint="eastAsia"/>
          <w:iCs/>
          <w:sz w:val="24"/>
        </w:rPr>
        <w:t>1人</w:t>
      </w:r>
      <w:r>
        <w:rPr>
          <w:iCs/>
          <w:sz w:val="24"/>
        </w:rPr>
        <w:t>具有有效期内的</w:t>
      </w:r>
      <w:r>
        <w:rPr>
          <w:rFonts w:hint="eastAsia"/>
          <w:iCs/>
          <w:sz w:val="24"/>
        </w:rPr>
        <w:t>二</w:t>
      </w:r>
      <w:r>
        <w:rPr>
          <w:iCs/>
          <w:sz w:val="24"/>
        </w:rPr>
        <w:t>级</w:t>
      </w:r>
      <w:r>
        <w:rPr>
          <w:rFonts w:hint="eastAsia"/>
          <w:iCs/>
          <w:sz w:val="24"/>
        </w:rPr>
        <w:t>及以上</w:t>
      </w:r>
      <w:r>
        <w:rPr>
          <w:iCs/>
          <w:sz w:val="24"/>
        </w:rPr>
        <w:t>建造师（机电工程）证书。</w:t>
      </w:r>
    </w:p>
    <w:p w14:paraId="361C82CA">
      <w:pPr>
        <w:ind w:firstLine="480"/>
        <w:rPr>
          <w:iCs/>
          <w:sz w:val="24"/>
        </w:rPr>
      </w:pPr>
      <w:r>
        <w:rPr>
          <w:rFonts w:hint="eastAsia"/>
          <w:iCs/>
          <w:sz w:val="24"/>
        </w:rPr>
        <w:t xml:space="preserve">② </w:t>
      </w:r>
      <w:r>
        <w:rPr>
          <w:iCs/>
          <w:sz w:val="24"/>
        </w:rPr>
        <w:t>投标人拟投入本项目的项目技术负责人</w:t>
      </w:r>
      <w:r>
        <w:rPr>
          <w:rFonts w:hint="eastAsia"/>
          <w:iCs/>
          <w:sz w:val="24"/>
        </w:rPr>
        <w:t>1人</w:t>
      </w:r>
      <w:r>
        <w:rPr>
          <w:iCs/>
          <w:sz w:val="24"/>
        </w:rPr>
        <w:t>具有有效期内的安防系统集成项目经理（</w:t>
      </w:r>
      <w:r>
        <w:rPr>
          <w:rFonts w:hint="eastAsia"/>
          <w:iCs/>
          <w:sz w:val="24"/>
        </w:rPr>
        <w:t>中级</w:t>
      </w:r>
      <w:r>
        <w:rPr>
          <w:iCs/>
          <w:sz w:val="24"/>
        </w:rPr>
        <w:t>）</w:t>
      </w:r>
      <w:r>
        <w:rPr>
          <w:rFonts w:hint="eastAsia"/>
          <w:iCs/>
          <w:sz w:val="24"/>
        </w:rPr>
        <w:t>及以上</w:t>
      </w:r>
      <w:r>
        <w:rPr>
          <w:iCs/>
          <w:sz w:val="24"/>
        </w:rPr>
        <w:t>证书。</w:t>
      </w:r>
    </w:p>
    <w:p w14:paraId="41485241">
      <w:pPr>
        <w:pStyle w:val="264"/>
        <w:spacing w:line="440" w:lineRule="exact"/>
        <w:ind w:firstLine="500"/>
        <w:rPr>
          <w:rFonts w:eastAsia="宋体"/>
          <w:iCs/>
        </w:rPr>
      </w:pPr>
      <w:r>
        <w:rPr>
          <w:rFonts w:hint="eastAsia" w:eastAsia="宋体"/>
          <w:iCs/>
        </w:rPr>
        <w:t>③</w:t>
      </w:r>
      <w:r>
        <w:rPr>
          <w:rFonts w:eastAsia="宋体"/>
          <w:iCs/>
        </w:rPr>
        <w:t>投标人拟投入本项目的</w:t>
      </w:r>
      <w:r>
        <w:rPr>
          <w:rFonts w:hint="eastAsia" w:eastAsia="宋体"/>
          <w:iCs/>
        </w:rPr>
        <w:t>运维</w:t>
      </w:r>
      <w:r>
        <w:rPr>
          <w:rFonts w:eastAsia="宋体"/>
          <w:iCs/>
        </w:rPr>
        <w:t>负责人</w:t>
      </w:r>
      <w:r>
        <w:rPr>
          <w:rFonts w:hint="eastAsia" w:eastAsia="宋体"/>
          <w:iCs/>
        </w:rPr>
        <w:t>1人</w:t>
      </w:r>
      <w:r>
        <w:rPr>
          <w:rFonts w:eastAsia="宋体"/>
          <w:iCs/>
        </w:rPr>
        <w:t>具有有效期内</w:t>
      </w:r>
      <w:r>
        <w:rPr>
          <w:rFonts w:hint="eastAsia" w:eastAsia="宋体"/>
          <w:iCs/>
        </w:rPr>
        <w:t>的</w:t>
      </w:r>
      <w:r>
        <w:rPr>
          <w:rFonts w:eastAsia="宋体"/>
          <w:iCs/>
        </w:rPr>
        <w:t>IT运维工程师（</w:t>
      </w:r>
      <w:r>
        <w:rPr>
          <w:rFonts w:hint="eastAsia"/>
          <w:iCs/>
        </w:rPr>
        <w:t>中</w:t>
      </w:r>
      <w:r>
        <w:rPr>
          <w:rFonts w:eastAsia="宋体"/>
          <w:iCs/>
        </w:rPr>
        <w:t>级）</w:t>
      </w:r>
      <w:r>
        <w:rPr>
          <w:rFonts w:hint="eastAsia"/>
          <w:iCs/>
        </w:rPr>
        <w:t>及以上</w:t>
      </w:r>
      <w:r>
        <w:rPr>
          <w:rFonts w:eastAsia="宋体"/>
          <w:iCs/>
        </w:rPr>
        <w:t>证书</w:t>
      </w:r>
      <w:r>
        <w:rPr>
          <w:rFonts w:hint="eastAsia" w:eastAsia="宋体"/>
          <w:iCs/>
        </w:rPr>
        <w:t>。</w:t>
      </w:r>
    </w:p>
    <w:p w14:paraId="64B8546B">
      <w:pPr>
        <w:pStyle w:val="264"/>
        <w:spacing w:line="440" w:lineRule="exact"/>
        <w:ind w:firstLine="500"/>
        <w:rPr>
          <w:rFonts w:eastAsia="宋体"/>
          <w:iCs/>
        </w:rPr>
      </w:pPr>
      <w:r>
        <w:rPr>
          <w:rFonts w:hint="eastAsia" w:eastAsia="宋体"/>
        </w:rPr>
        <w:t xml:space="preserve">④ </w:t>
      </w:r>
      <w:r>
        <w:rPr>
          <w:rFonts w:eastAsia="宋体"/>
        </w:rPr>
        <w:t>投标人针对本项</w:t>
      </w:r>
      <w:r>
        <w:rPr>
          <w:rFonts w:eastAsia="宋体"/>
          <w:iCs/>
        </w:rPr>
        <w:t>目投入的项目组成员</w:t>
      </w:r>
      <w:r>
        <w:rPr>
          <w:rFonts w:hint="eastAsia" w:eastAsia="宋体"/>
          <w:iCs/>
        </w:rPr>
        <w:t>2人具有有</w:t>
      </w:r>
      <w:r>
        <w:rPr>
          <w:rFonts w:hint="eastAsia" w:eastAsia="宋体"/>
        </w:rPr>
        <w:t>效期内的</w:t>
      </w:r>
      <w:r>
        <w:t>低压电工证书、设备安装质量员证书、高级电气工程师证书</w:t>
      </w:r>
      <w:r>
        <w:rPr>
          <w:rFonts w:eastAsia="宋体"/>
        </w:rPr>
        <w:t>。</w:t>
      </w:r>
    </w:p>
    <w:p w14:paraId="77AB4219">
      <w:pPr>
        <w:ind w:firstLine="480"/>
        <w:rPr>
          <w:iCs/>
          <w:sz w:val="24"/>
        </w:rPr>
      </w:pPr>
      <w:r>
        <w:rPr>
          <w:iCs/>
          <w:sz w:val="24"/>
        </w:rPr>
        <w:t>注：以上岗位不得兼任。</w:t>
      </w:r>
    </w:p>
    <w:p w14:paraId="3F32BF6A">
      <w:pPr>
        <w:numPr>
          <w:ilvl w:val="0"/>
          <w:numId w:val="13"/>
        </w:numPr>
        <w:ind w:firstLine="482"/>
        <w:rPr>
          <w:b/>
          <w:bCs/>
          <w:iCs/>
          <w:sz w:val="24"/>
        </w:rPr>
      </w:pPr>
      <w:r>
        <w:rPr>
          <w:rFonts w:hint="eastAsia"/>
          <w:b/>
          <w:bCs/>
          <w:iCs/>
          <w:sz w:val="24"/>
        </w:rPr>
        <w:t>履约能力要求：</w:t>
      </w:r>
    </w:p>
    <w:p w14:paraId="4D33326F">
      <w:pPr>
        <w:ind w:firstLine="480"/>
        <w:rPr>
          <w:iCs/>
          <w:sz w:val="24"/>
        </w:rPr>
      </w:pPr>
      <w:r>
        <w:rPr>
          <w:iCs/>
          <w:sz w:val="24"/>
        </w:rPr>
        <w:t>（1）投标人</w:t>
      </w:r>
      <w:r>
        <w:rPr>
          <w:rFonts w:hint="eastAsia"/>
          <w:iCs/>
          <w:sz w:val="24"/>
        </w:rPr>
        <w:t>需</w:t>
      </w:r>
      <w:r>
        <w:rPr>
          <w:iCs/>
          <w:sz w:val="24"/>
        </w:rPr>
        <w:t>提供自2022年以来承接的类似项目业绩。</w:t>
      </w:r>
    </w:p>
    <w:p w14:paraId="10E29B20">
      <w:pPr>
        <w:pStyle w:val="264"/>
        <w:spacing w:line="440" w:lineRule="exact"/>
        <w:ind w:firstLine="500"/>
      </w:pPr>
      <w:r>
        <w:rPr>
          <w:rFonts w:eastAsia="宋体"/>
          <w:iCs/>
        </w:rPr>
        <w:t>（2）</w:t>
      </w:r>
      <w:r>
        <w:rPr>
          <w:rFonts w:eastAsia="宋体"/>
          <w:spacing w:val="-1"/>
        </w:rPr>
        <w:t>投标人需具有有效期内的</w:t>
      </w:r>
      <w:r>
        <w:t>信息技术服务管理体系认证证书、信息安全管理体系认证证书</w:t>
      </w:r>
      <w:r>
        <w:rPr>
          <w:rFonts w:hint="eastAsia" w:eastAsia="宋体"/>
        </w:rPr>
        <w:t>。</w:t>
      </w:r>
    </w:p>
    <w:p w14:paraId="23AD277F">
      <w:pPr>
        <w:widowControl/>
        <w:numPr>
          <w:ilvl w:val="0"/>
          <w:numId w:val="11"/>
        </w:numPr>
        <w:spacing w:before="120" w:after="120"/>
        <w:ind w:firstLine="0"/>
        <w:outlineLvl w:val="1"/>
        <w:rPr>
          <w:rFonts w:ascii="宋体" w:hAnsi="宋体" w:cs="宋体"/>
          <w:b/>
          <w:color w:val="000000"/>
          <w:sz w:val="28"/>
          <w:szCs w:val="28"/>
        </w:rPr>
      </w:pPr>
      <w:bookmarkStart w:id="182" w:name="EBb0ab975038a04efd86af0f0eaa5a524b"/>
      <w:bookmarkEnd w:id="182"/>
      <w:bookmarkStart w:id="183" w:name="OLE_LINK12"/>
      <w:r>
        <w:rPr>
          <w:rFonts w:hint="eastAsia" w:ascii="宋体" w:hAnsi="宋体" w:cs="宋体"/>
          <w:b/>
          <w:color w:val="000000"/>
          <w:sz w:val="28"/>
          <w:szCs w:val="28"/>
        </w:rPr>
        <w:t xml:space="preserve">商务条款 </w:t>
      </w:r>
    </w:p>
    <w:bookmarkEnd w:id="183"/>
    <w:p w14:paraId="5D6B575C">
      <w:pPr>
        <w:pStyle w:val="279"/>
        <w:spacing w:line="440" w:lineRule="exact"/>
        <w:ind w:firstLine="500"/>
        <w:rPr>
          <w:rStyle w:val="275"/>
          <w:b/>
        </w:rPr>
      </w:pPr>
      <w:r>
        <w:rPr>
          <w:rStyle w:val="275"/>
          <w:b/>
        </w:rPr>
        <w:t>1</w:t>
      </w:r>
      <w:r>
        <w:rPr>
          <w:rFonts w:eastAsia="宋体"/>
          <w:b/>
          <w:bCs/>
        </w:rPr>
        <w:t>．</w:t>
      </w:r>
      <w:r>
        <w:rPr>
          <w:rFonts w:hint="eastAsia" w:eastAsia="宋体"/>
          <w:b/>
          <w:bCs/>
        </w:rPr>
        <w:t>质保期</w:t>
      </w:r>
    </w:p>
    <w:p w14:paraId="7A5A2AC0">
      <w:pPr>
        <w:pStyle w:val="279"/>
        <w:spacing w:line="440" w:lineRule="exact"/>
        <w:ind w:firstLine="500"/>
        <w:rPr>
          <w:rFonts w:eastAsia="宋体"/>
          <w:i/>
          <w:spacing w:val="7"/>
          <w:u w:val="single"/>
        </w:rPr>
      </w:pPr>
      <w:r>
        <w:rPr>
          <w:rFonts w:eastAsia="宋体"/>
          <w:i/>
          <w:spacing w:val="7"/>
          <w:u w:val="single"/>
        </w:rPr>
        <w:t>自验收合格之日起（以双方在验收报告签订日期为准），</w:t>
      </w:r>
      <w:r>
        <w:rPr>
          <w:rFonts w:hint="eastAsia" w:eastAsia="宋体"/>
          <w:i/>
          <w:spacing w:val="7"/>
          <w:u w:val="single"/>
        </w:rPr>
        <w:t>所有货物</w:t>
      </w:r>
      <w:r>
        <w:rPr>
          <w:rFonts w:eastAsia="宋体"/>
          <w:i/>
          <w:spacing w:val="7"/>
          <w:u w:val="single"/>
        </w:rPr>
        <w:t>免费质保期</w:t>
      </w:r>
      <w:r>
        <w:rPr>
          <w:rFonts w:hint="eastAsia" w:eastAsia="宋体"/>
          <w:i/>
          <w:spacing w:val="7"/>
          <w:u w:val="single"/>
        </w:rPr>
        <w:t>3</w:t>
      </w:r>
      <w:r>
        <w:rPr>
          <w:rFonts w:eastAsia="宋体"/>
          <w:i/>
          <w:spacing w:val="7"/>
          <w:u w:val="single"/>
        </w:rPr>
        <w:t>年。</w:t>
      </w:r>
    </w:p>
    <w:p w14:paraId="3143E651">
      <w:pPr>
        <w:pStyle w:val="279"/>
        <w:spacing w:line="440" w:lineRule="exact"/>
        <w:ind w:firstLine="500"/>
        <w:rPr>
          <w:rFonts w:eastAsia="宋体"/>
          <w:b/>
          <w:bCs/>
        </w:rPr>
      </w:pPr>
      <w:r>
        <w:rPr>
          <w:rFonts w:eastAsia="宋体"/>
          <w:b/>
          <w:bCs/>
        </w:rPr>
        <w:t>2．售后服务要求</w:t>
      </w:r>
    </w:p>
    <w:p w14:paraId="0063A67A">
      <w:pPr>
        <w:pStyle w:val="279"/>
        <w:spacing w:line="440" w:lineRule="exact"/>
        <w:ind w:firstLine="500"/>
        <w:rPr>
          <w:rFonts w:eastAsia="宋体"/>
          <w:i/>
          <w:spacing w:val="7"/>
          <w:u w:val="single"/>
        </w:rPr>
      </w:pPr>
      <w:r>
        <w:rPr>
          <w:rFonts w:eastAsia="宋体"/>
          <w:i/>
          <w:spacing w:val="7"/>
          <w:u w:val="single"/>
        </w:rPr>
        <w:t>2.1</w:t>
      </w:r>
      <w:r>
        <w:rPr>
          <w:rFonts w:hint="eastAsia" w:eastAsia="宋体"/>
          <w:i/>
          <w:spacing w:val="7"/>
          <w:u w:val="single"/>
        </w:rPr>
        <w:t>、</w:t>
      </w:r>
      <w:r>
        <w:rPr>
          <w:rFonts w:eastAsia="宋体"/>
          <w:i/>
          <w:spacing w:val="7"/>
          <w:u w:val="single"/>
        </w:rPr>
        <w:t>免费质保期内，除人为损坏和不可抗拒因素外，</w:t>
      </w:r>
      <w:r>
        <w:rPr>
          <w:rFonts w:hint="eastAsia" w:eastAsia="宋体"/>
          <w:i/>
          <w:spacing w:val="7"/>
          <w:u w:val="single"/>
        </w:rPr>
        <w:t>中标单位</w:t>
      </w:r>
      <w:r>
        <w:rPr>
          <w:rFonts w:eastAsia="宋体"/>
          <w:i/>
          <w:spacing w:val="7"/>
          <w:u w:val="single"/>
        </w:rPr>
        <w:t>对物品进行免费维修或更换，终身维修。</w:t>
      </w:r>
      <w:r>
        <w:rPr>
          <w:rFonts w:hint="eastAsia" w:eastAsia="宋体"/>
          <w:i/>
          <w:spacing w:val="7"/>
          <w:u w:val="single"/>
        </w:rPr>
        <w:t>质保期内</w:t>
      </w:r>
      <w:r>
        <w:rPr>
          <w:rFonts w:eastAsia="宋体"/>
          <w:i/>
          <w:spacing w:val="7"/>
          <w:u w:val="single"/>
        </w:rPr>
        <w:t>每半年免费保养、巡检一次，并确保备品备件的正常供应。（以双方在验收报告签订日期为准）。</w:t>
      </w:r>
    </w:p>
    <w:p w14:paraId="00F76116">
      <w:pPr>
        <w:pStyle w:val="279"/>
        <w:spacing w:line="440" w:lineRule="exact"/>
        <w:ind w:firstLine="500"/>
        <w:rPr>
          <w:rFonts w:eastAsia="宋体"/>
          <w:i/>
          <w:spacing w:val="7"/>
          <w:u w:val="single"/>
        </w:rPr>
      </w:pPr>
      <w:r>
        <w:rPr>
          <w:rFonts w:hint="eastAsia" w:eastAsia="宋体"/>
          <w:i/>
          <w:spacing w:val="7"/>
          <w:u w:val="single"/>
        </w:rPr>
        <w:t>2.2、</w:t>
      </w:r>
      <w:r>
        <w:rPr>
          <w:rFonts w:eastAsia="宋体"/>
          <w:i/>
          <w:spacing w:val="7"/>
          <w:u w:val="single"/>
        </w:rPr>
        <w:t>中标单位在接到</w:t>
      </w:r>
      <w:r>
        <w:rPr>
          <w:rFonts w:hint="eastAsia" w:eastAsia="宋体"/>
          <w:i/>
          <w:spacing w:val="7"/>
          <w:u w:val="single"/>
        </w:rPr>
        <w:t>采购人</w:t>
      </w:r>
      <w:r>
        <w:rPr>
          <w:rFonts w:eastAsia="宋体"/>
          <w:i/>
          <w:spacing w:val="7"/>
          <w:u w:val="single"/>
        </w:rPr>
        <w:t>维修函电后，必须在1小时内对</w:t>
      </w:r>
      <w:r>
        <w:rPr>
          <w:rFonts w:hint="eastAsia" w:eastAsia="宋体"/>
          <w:i/>
          <w:spacing w:val="7"/>
          <w:u w:val="single"/>
        </w:rPr>
        <w:t>采购人</w:t>
      </w:r>
      <w:r>
        <w:rPr>
          <w:rFonts w:eastAsia="宋体"/>
          <w:i/>
          <w:spacing w:val="7"/>
          <w:u w:val="single"/>
        </w:rPr>
        <w:t xml:space="preserve">所提出的维修要求作出响应，4小时内到达维修现场并维修完毕，若 </w:t>
      </w:r>
      <w:r>
        <w:rPr>
          <w:rFonts w:hint="eastAsia" w:eastAsia="宋体"/>
          <w:i/>
          <w:spacing w:val="7"/>
          <w:u w:val="single"/>
        </w:rPr>
        <w:t>12</w:t>
      </w:r>
      <w:r>
        <w:rPr>
          <w:rFonts w:eastAsia="宋体"/>
          <w:i/>
          <w:spacing w:val="7"/>
          <w:u w:val="single"/>
        </w:rPr>
        <w:t xml:space="preserve"> 小时内无法维修完毕的中标单位</w:t>
      </w:r>
      <w:r>
        <w:rPr>
          <w:rFonts w:hint="eastAsia" w:eastAsia="宋体"/>
          <w:i/>
          <w:spacing w:val="7"/>
          <w:u w:val="single"/>
        </w:rPr>
        <w:t>须</w:t>
      </w:r>
      <w:r>
        <w:rPr>
          <w:rFonts w:eastAsia="宋体"/>
          <w:i/>
          <w:spacing w:val="7"/>
          <w:u w:val="single"/>
        </w:rPr>
        <w:t>免费提供相应备件确保设备及系统正常运行。</w:t>
      </w:r>
    </w:p>
    <w:p w14:paraId="1F4CC8E4">
      <w:pPr>
        <w:pStyle w:val="279"/>
        <w:spacing w:line="440" w:lineRule="exact"/>
        <w:ind w:firstLine="500"/>
        <w:rPr>
          <w:rFonts w:eastAsia="宋体"/>
          <w:i/>
          <w:spacing w:val="7"/>
          <w:u w:val="single"/>
        </w:rPr>
      </w:pPr>
      <w:r>
        <w:rPr>
          <w:rFonts w:hint="eastAsia" w:eastAsia="宋体"/>
          <w:i/>
          <w:spacing w:val="7"/>
          <w:u w:val="single"/>
        </w:rPr>
        <w:t>2.3、质保期内中标单位提供相关软件免费升级服务。</w:t>
      </w:r>
    </w:p>
    <w:p w14:paraId="03DCE1C5">
      <w:pPr>
        <w:pStyle w:val="279"/>
        <w:spacing w:line="440" w:lineRule="exact"/>
        <w:ind w:firstLine="500"/>
        <w:rPr>
          <w:rFonts w:eastAsia="宋体"/>
          <w:i/>
          <w:spacing w:val="7"/>
          <w:u w:val="single"/>
        </w:rPr>
      </w:pPr>
      <w:r>
        <w:rPr>
          <w:rFonts w:hint="eastAsia" w:eastAsia="宋体"/>
          <w:i/>
          <w:spacing w:val="7"/>
          <w:u w:val="single"/>
        </w:rPr>
        <w:t>2.4、</w:t>
      </w:r>
      <w:r>
        <w:rPr>
          <w:rFonts w:eastAsia="宋体"/>
          <w:i/>
          <w:spacing w:val="7"/>
          <w:u w:val="single"/>
        </w:rPr>
        <w:t>中标单位负责</w:t>
      </w:r>
      <w:r>
        <w:rPr>
          <w:rFonts w:hint="eastAsia" w:eastAsia="宋体"/>
          <w:i/>
          <w:spacing w:val="7"/>
          <w:u w:val="single"/>
        </w:rPr>
        <w:t>质保期</w:t>
      </w:r>
      <w:r>
        <w:rPr>
          <w:rFonts w:eastAsia="宋体"/>
          <w:i/>
          <w:spacing w:val="7"/>
          <w:u w:val="single"/>
        </w:rPr>
        <w:t>内的7×24小时运维保障，负责5×8小时时间外的电话技术支持服务，服务内容包括：设备软、硬件的日常维护、调整优化、故障受理等工作。遇到紧急情况或重大维护任务，随时按采购单位要求增加人员，严格按照采购单位要求的时限完成任务。</w:t>
      </w:r>
    </w:p>
    <w:p w14:paraId="19FBD167">
      <w:pPr>
        <w:pStyle w:val="279"/>
        <w:spacing w:line="440" w:lineRule="exact"/>
        <w:ind w:firstLine="500"/>
        <w:rPr>
          <w:rFonts w:eastAsia="宋体"/>
          <w:i/>
          <w:spacing w:val="7"/>
          <w:u w:val="single"/>
        </w:rPr>
      </w:pPr>
      <w:r>
        <w:rPr>
          <w:rFonts w:hint="eastAsia" w:eastAsia="宋体"/>
          <w:i/>
          <w:spacing w:val="7"/>
          <w:u w:val="single"/>
        </w:rPr>
        <w:t>2.5、</w:t>
      </w:r>
      <w:r>
        <w:rPr>
          <w:rFonts w:eastAsia="宋体"/>
          <w:i/>
          <w:spacing w:val="7"/>
          <w:u w:val="single"/>
        </w:rPr>
        <w:t>中标单位需提出免费质保期内的维修、维护内容及服务方式、范围（产品、技术、部件）。</w:t>
      </w:r>
    </w:p>
    <w:p w14:paraId="74F3429A">
      <w:pPr>
        <w:pStyle w:val="279"/>
        <w:spacing w:line="440" w:lineRule="exact"/>
        <w:ind w:firstLine="500"/>
        <w:rPr>
          <w:rFonts w:eastAsia="宋体"/>
          <w:i/>
          <w:spacing w:val="7"/>
          <w:u w:val="single"/>
        </w:rPr>
      </w:pPr>
      <w:r>
        <w:rPr>
          <w:rFonts w:hint="eastAsia" w:eastAsia="宋体"/>
          <w:i/>
          <w:spacing w:val="7"/>
          <w:u w:val="single"/>
        </w:rPr>
        <w:t>2.6、</w:t>
      </w:r>
      <w:r>
        <w:rPr>
          <w:rFonts w:eastAsia="宋体"/>
          <w:i/>
          <w:spacing w:val="7"/>
          <w:u w:val="single"/>
        </w:rPr>
        <w:t>中标单位保证长期为客户提供各种技术方面的咨询。</w:t>
      </w:r>
    </w:p>
    <w:p w14:paraId="15398060">
      <w:pPr>
        <w:pStyle w:val="279"/>
        <w:spacing w:line="440" w:lineRule="exact"/>
        <w:ind w:firstLine="500"/>
        <w:rPr>
          <w:rFonts w:eastAsia="宋体"/>
          <w:b/>
          <w:bCs/>
        </w:rPr>
      </w:pPr>
      <w:r>
        <w:rPr>
          <w:rFonts w:eastAsia="宋体"/>
          <w:b/>
          <w:bCs/>
        </w:rPr>
        <w:t>3．交货期、交货方式及交货地点</w:t>
      </w:r>
    </w:p>
    <w:p w14:paraId="776AE561">
      <w:pPr>
        <w:pStyle w:val="279"/>
        <w:spacing w:line="440" w:lineRule="exact"/>
        <w:ind w:firstLine="500"/>
        <w:rPr>
          <w:rFonts w:eastAsia="宋体"/>
          <w:i/>
          <w:spacing w:val="7"/>
          <w:u w:val="single"/>
        </w:rPr>
      </w:pPr>
      <w:r>
        <w:rPr>
          <w:rFonts w:eastAsia="宋体"/>
          <w:i/>
          <w:spacing w:val="7"/>
          <w:u w:val="single"/>
        </w:rPr>
        <w:t xml:space="preserve">3.1、交货期 </w:t>
      </w:r>
    </w:p>
    <w:p w14:paraId="5BAEF642">
      <w:pPr>
        <w:pStyle w:val="279"/>
        <w:spacing w:line="440" w:lineRule="exact"/>
        <w:ind w:firstLine="500"/>
        <w:rPr>
          <w:rFonts w:eastAsia="宋体"/>
          <w:i/>
          <w:spacing w:val="7"/>
          <w:u w:val="single"/>
        </w:rPr>
      </w:pPr>
      <w:r>
        <w:rPr>
          <w:rFonts w:eastAsia="宋体"/>
          <w:i/>
          <w:spacing w:val="7"/>
          <w:u w:val="single"/>
        </w:rPr>
        <w:t>交付期：合同签订后</w:t>
      </w:r>
      <w:r>
        <w:rPr>
          <w:rFonts w:hint="eastAsia" w:eastAsia="宋体"/>
          <w:i/>
          <w:spacing w:val="7"/>
          <w:u w:val="single"/>
          <w:lang w:val="en-US" w:eastAsia="zh-CN"/>
        </w:rPr>
        <w:t>45</w:t>
      </w:r>
      <w:r>
        <w:rPr>
          <w:rFonts w:eastAsia="宋体"/>
          <w:i/>
          <w:spacing w:val="7"/>
          <w:u w:val="single"/>
        </w:rPr>
        <w:t>个日历日内完成本项目建设并验收合格</w:t>
      </w:r>
      <w:r>
        <w:rPr>
          <w:rFonts w:hint="eastAsia" w:eastAsia="宋体"/>
          <w:i/>
          <w:spacing w:val="7"/>
          <w:u w:val="single"/>
        </w:rPr>
        <w:t>。</w:t>
      </w:r>
      <w:r>
        <w:rPr>
          <w:rFonts w:eastAsia="宋体"/>
          <w:i/>
          <w:spacing w:val="7"/>
          <w:u w:val="single"/>
        </w:rPr>
        <w:t>遇不可抗力原因需迟延交货的，经采购人同意后可适当延期。</w:t>
      </w:r>
    </w:p>
    <w:p w14:paraId="5D6EBD53">
      <w:pPr>
        <w:pStyle w:val="279"/>
        <w:spacing w:line="440" w:lineRule="exact"/>
        <w:ind w:firstLine="500"/>
        <w:rPr>
          <w:rFonts w:eastAsia="宋体"/>
          <w:i/>
          <w:spacing w:val="7"/>
          <w:u w:val="single"/>
        </w:rPr>
      </w:pPr>
      <w:r>
        <w:rPr>
          <w:rFonts w:eastAsia="宋体"/>
          <w:i/>
          <w:spacing w:val="7"/>
          <w:u w:val="single"/>
        </w:rPr>
        <w:t xml:space="preserve">3.2、交货方式 </w:t>
      </w:r>
    </w:p>
    <w:p w14:paraId="33B3B060">
      <w:pPr>
        <w:pStyle w:val="279"/>
        <w:spacing w:line="440" w:lineRule="exact"/>
        <w:ind w:firstLine="500"/>
        <w:rPr>
          <w:rFonts w:eastAsia="宋体"/>
          <w:i/>
          <w:spacing w:val="7"/>
          <w:u w:val="single"/>
        </w:rPr>
      </w:pPr>
      <w:r>
        <w:rPr>
          <w:rFonts w:eastAsia="宋体"/>
          <w:i/>
          <w:spacing w:val="7"/>
          <w:u w:val="single"/>
        </w:rPr>
        <w:t>原厂包装免费送至</w:t>
      </w:r>
      <w:r>
        <w:rPr>
          <w:rFonts w:hint="eastAsia" w:eastAsia="宋体"/>
          <w:i/>
          <w:spacing w:val="7"/>
          <w:u w:val="single"/>
        </w:rPr>
        <w:t>采购</w:t>
      </w:r>
      <w:r>
        <w:rPr>
          <w:rFonts w:eastAsia="宋体"/>
          <w:i/>
          <w:spacing w:val="7"/>
          <w:u w:val="single"/>
        </w:rPr>
        <w:t>人指定地点。</w:t>
      </w:r>
    </w:p>
    <w:p w14:paraId="1491BB6A">
      <w:pPr>
        <w:pStyle w:val="279"/>
        <w:spacing w:line="440" w:lineRule="exact"/>
        <w:ind w:firstLine="500"/>
        <w:rPr>
          <w:rFonts w:eastAsia="宋体"/>
          <w:i/>
          <w:spacing w:val="7"/>
          <w:u w:val="single"/>
        </w:rPr>
      </w:pPr>
      <w:r>
        <w:rPr>
          <w:rFonts w:eastAsia="宋体"/>
          <w:i/>
          <w:spacing w:val="7"/>
          <w:u w:val="single"/>
        </w:rPr>
        <w:t xml:space="preserve">3.3、交货地点 </w:t>
      </w:r>
    </w:p>
    <w:p w14:paraId="443CA35E">
      <w:pPr>
        <w:pStyle w:val="279"/>
        <w:spacing w:line="440" w:lineRule="exact"/>
        <w:ind w:firstLine="500"/>
        <w:rPr>
          <w:rFonts w:eastAsia="宋体"/>
          <w:i/>
          <w:spacing w:val="7"/>
          <w:u w:val="single"/>
        </w:rPr>
      </w:pPr>
      <w:r>
        <w:rPr>
          <w:rFonts w:hint="eastAsia" w:eastAsia="宋体"/>
          <w:i/>
          <w:spacing w:val="7"/>
          <w:u w:val="single"/>
        </w:rPr>
        <w:t>采购</w:t>
      </w:r>
      <w:r>
        <w:rPr>
          <w:rFonts w:eastAsia="宋体"/>
          <w:i/>
          <w:spacing w:val="7"/>
          <w:u w:val="single"/>
        </w:rPr>
        <w:t>人指定地点。</w:t>
      </w:r>
    </w:p>
    <w:p w14:paraId="59FC8CBA">
      <w:pPr>
        <w:pStyle w:val="279"/>
        <w:spacing w:line="440" w:lineRule="exact"/>
        <w:ind w:firstLine="500"/>
        <w:rPr>
          <w:rFonts w:eastAsia="宋体"/>
          <w:b/>
          <w:bCs/>
        </w:rPr>
      </w:pPr>
      <w:r>
        <w:rPr>
          <w:rFonts w:hint="eastAsia" w:eastAsia="宋体"/>
          <w:b/>
          <w:bCs/>
        </w:rPr>
        <w:t>4</w:t>
      </w:r>
      <w:r>
        <w:rPr>
          <w:rFonts w:eastAsia="宋体"/>
          <w:b/>
          <w:bCs/>
        </w:rPr>
        <w:t>．货款支付</w:t>
      </w:r>
    </w:p>
    <w:p w14:paraId="73959B57">
      <w:pPr>
        <w:pStyle w:val="279"/>
        <w:spacing w:line="440" w:lineRule="exact"/>
        <w:ind w:firstLine="500"/>
        <w:rPr>
          <w:rFonts w:eastAsia="宋体"/>
          <w:i/>
          <w:spacing w:val="7"/>
          <w:u w:val="single"/>
        </w:rPr>
      </w:pPr>
      <w:r>
        <w:rPr>
          <w:rFonts w:hint="eastAsia" w:eastAsia="宋体"/>
          <w:i/>
          <w:spacing w:val="7"/>
          <w:u w:val="single"/>
        </w:rPr>
        <w:t>4</w:t>
      </w:r>
      <w:r>
        <w:rPr>
          <w:rFonts w:eastAsia="宋体"/>
          <w:i/>
          <w:spacing w:val="7"/>
          <w:u w:val="single"/>
        </w:rPr>
        <w:t>.1、结付程序</w:t>
      </w:r>
    </w:p>
    <w:p w14:paraId="31563421">
      <w:pPr>
        <w:pStyle w:val="279"/>
        <w:spacing w:line="440" w:lineRule="exact"/>
        <w:ind w:firstLine="500"/>
        <w:rPr>
          <w:rFonts w:eastAsia="宋体"/>
          <w:i/>
          <w:spacing w:val="7"/>
          <w:u w:val="single"/>
        </w:rPr>
      </w:pPr>
      <w:r>
        <w:rPr>
          <w:rFonts w:eastAsia="宋体"/>
          <w:i/>
          <w:spacing w:val="7"/>
          <w:u w:val="single"/>
        </w:rPr>
        <w:t>供方按本合同内容合格地履行义务后，凭验收报告、销售发票到采购单位办理合同款结算手续。</w:t>
      </w:r>
    </w:p>
    <w:p w14:paraId="60ED8557">
      <w:pPr>
        <w:pStyle w:val="279"/>
        <w:spacing w:line="440" w:lineRule="exact"/>
        <w:ind w:firstLine="500"/>
        <w:rPr>
          <w:rFonts w:eastAsia="宋体"/>
          <w:i/>
          <w:color w:val="000000" w:themeColor="text1"/>
          <w:spacing w:val="7"/>
          <w:highlight w:val="none"/>
          <w:u w:val="single"/>
          <w14:textFill>
            <w14:solidFill>
              <w14:schemeClr w14:val="tx1"/>
            </w14:solidFill>
          </w14:textFill>
        </w:rPr>
      </w:pPr>
      <w:r>
        <w:rPr>
          <w:rFonts w:hint="eastAsia" w:eastAsia="宋体"/>
          <w:i/>
          <w:color w:val="000000" w:themeColor="text1"/>
          <w:spacing w:val="7"/>
          <w:highlight w:val="none"/>
          <w:u w:val="single"/>
          <w14:textFill>
            <w14:solidFill>
              <w14:schemeClr w14:val="tx1"/>
            </w14:solidFill>
          </w14:textFill>
        </w:rPr>
        <w:t>4</w:t>
      </w:r>
      <w:r>
        <w:rPr>
          <w:rFonts w:eastAsia="宋体"/>
          <w:i/>
          <w:color w:val="000000" w:themeColor="text1"/>
          <w:spacing w:val="7"/>
          <w:highlight w:val="none"/>
          <w:u w:val="single"/>
          <w14:textFill>
            <w14:solidFill>
              <w14:schemeClr w14:val="tx1"/>
            </w14:solidFill>
          </w14:textFill>
        </w:rPr>
        <w:t>.2、结付期限</w:t>
      </w:r>
    </w:p>
    <w:p w14:paraId="2B966830">
      <w:pPr>
        <w:pStyle w:val="279"/>
        <w:spacing w:line="440" w:lineRule="exact"/>
        <w:ind w:firstLine="500"/>
        <w:rPr>
          <w:rFonts w:hint="eastAsia" w:eastAsia="宋体"/>
          <w:i/>
          <w:spacing w:val="7"/>
          <w:u w:val="single"/>
        </w:rPr>
      </w:pPr>
      <w:r>
        <w:rPr>
          <w:rFonts w:hint="eastAsia" w:eastAsia="宋体"/>
          <w:i/>
          <w:spacing w:val="7"/>
          <w:u w:val="single"/>
          <w:lang w:eastAsia="zh-CN"/>
        </w:rPr>
        <w:t>（</w:t>
      </w:r>
      <w:r>
        <w:rPr>
          <w:rFonts w:hint="eastAsia" w:eastAsia="宋体"/>
          <w:i/>
          <w:spacing w:val="7"/>
          <w:u w:val="single"/>
          <w:lang w:val="en-US" w:eastAsia="zh-CN"/>
        </w:rPr>
        <w:t>1</w:t>
      </w:r>
      <w:r>
        <w:rPr>
          <w:rFonts w:hint="eastAsia" w:eastAsia="宋体"/>
          <w:i/>
          <w:spacing w:val="7"/>
          <w:u w:val="single"/>
        </w:rPr>
        <w:t>）合同生效后，7个工作日内采购人支付合同金额30%的预付款；</w:t>
      </w:r>
    </w:p>
    <w:p w14:paraId="2EC17439">
      <w:pPr>
        <w:pStyle w:val="279"/>
        <w:spacing w:line="440" w:lineRule="exact"/>
        <w:ind w:firstLine="500"/>
        <w:rPr>
          <w:rFonts w:hint="eastAsia" w:eastAsia="宋体"/>
          <w:i/>
          <w:spacing w:val="7"/>
          <w:u w:val="single"/>
        </w:rPr>
      </w:pPr>
      <w:r>
        <w:rPr>
          <w:rFonts w:hint="eastAsia" w:eastAsia="宋体"/>
          <w:i/>
          <w:spacing w:val="7"/>
          <w:u w:val="single"/>
        </w:rPr>
        <w:t>（2）设施设备安装完成经验收合格后15个工作日内付至合同金额的70%；通过审计后一年付至审定价的80%并一次性无息退回履约保证金；</w:t>
      </w:r>
    </w:p>
    <w:p w14:paraId="6AEB90FC">
      <w:pPr>
        <w:pStyle w:val="279"/>
        <w:spacing w:line="440" w:lineRule="exact"/>
        <w:ind w:firstLine="500"/>
        <w:rPr>
          <w:rFonts w:hint="eastAsia" w:eastAsia="宋体"/>
          <w:i/>
          <w:spacing w:val="7"/>
          <w:u w:val="single"/>
        </w:rPr>
      </w:pPr>
      <w:r>
        <w:rPr>
          <w:rFonts w:hint="eastAsia" w:eastAsia="宋体"/>
          <w:i/>
          <w:spacing w:val="7"/>
          <w:u w:val="single"/>
        </w:rPr>
        <w:t>（3）维保期满两年后采购人支付审定价的10%；维保期满三年后采购人支付剩余审定价的10%。</w:t>
      </w:r>
    </w:p>
    <w:p w14:paraId="02B22645">
      <w:pPr>
        <w:pStyle w:val="279"/>
        <w:spacing w:line="440" w:lineRule="exact"/>
        <w:ind w:firstLine="500"/>
        <w:rPr>
          <w:rFonts w:eastAsia="宋体"/>
          <w:b/>
          <w:bCs/>
        </w:rPr>
      </w:pPr>
      <w:r>
        <w:rPr>
          <w:rFonts w:hint="eastAsia" w:eastAsia="宋体"/>
          <w:b/>
          <w:bCs/>
        </w:rPr>
        <w:t>5</w:t>
      </w:r>
      <w:r>
        <w:rPr>
          <w:rFonts w:eastAsia="宋体"/>
          <w:b/>
          <w:bCs/>
        </w:rPr>
        <w:t>．投标货币</w:t>
      </w:r>
    </w:p>
    <w:p w14:paraId="09B6EC8E">
      <w:pPr>
        <w:pStyle w:val="248"/>
        <w:spacing w:line="440" w:lineRule="exact"/>
        <w:ind w:firstLine="500"/>
        <w:rPr>
          <w:rFonts w:ascii="宋体" w:hAnsi="宋体" w:eastAsia="宋体" w:cs="宋体"/>
          <w:i/>
          <w:color w:val="000000"/>
          <w:spacing w:val="7"/>
          <w:u w:val="single"/>
        </w:rPr>
      </w:pPr>
      <w:r>
        <w:rPr>
          <w:rFonts w:ascii="宋体" w:hAnsi="宋体" w:eastAsia="宋体" w:cs="宋体"/>
          <w:i/>
          <w:color w:val="000000"/>
          <w:spacing w:val="7"/>
          <w:u w:val="single"/>
        </w:rPr>
        <w:t>人民币</w:t>
      </w:r>
      <w:r>
        <w:rPr>
          <w:rFonts w:hint="eastAsia" w:ascii="宋体" w:hAnsi="宋体" w:eastAsia="宋体" w:cs="宋体"/>
          <w:i/>
          <w:color w:val="000000"/>
          <w:spacing w:val="7"/>
          <w:u w:val="single"/>
        </w:rPr>
        <w:t>。</w:t>
      </w:r>
    </w:p>
    <w:p w14:paraId="514B62C2">
      <w:pPr>
        <w:pStyle w:val="279"/>
        <w:spacing w:line="440" w:lineRule="exact"/>
        <w:ind w:firstLine="500"/>
        <w:rPr>
          <w:rFonts w:eastAsia="宋体"/>
          <w:b/>
          <w:spacing w:val="7"/>
        </w:rPr>
      </w:pPr>
      <w:r>
        <w:rPr>
          <w:rFonts w:eastAsia="宋体"/>
          <w:b/>
          <w:spacing w:val="7"/>
        </w:rPr>
        <w:t>6 备品备件及耗材等要求</w:t>
      </w:r>
    </w:p>
    <w:p w14:paraId="6599CB0D">
      <w:pPr>
        <w:pStyle w:val="279"/>
        <w:spacing w:line="440" w:lineRule="exact"/>
        <w:ind w:firstLine="500"/>
        <w:rPr>
          <w:rFonts w:eastAsia="宋体"/>
          <w:i/>
          <w:spacing w:val="7"/>
          <w:u w:val="single"/>
        </w:rPr>
      </w:pPr>
      <w:r>
        <w:rPr>
          <w:rFonts w:eastAsia="宋体"/>
          <w:i/>
          <w:spacing w:val="7"/>
          <w:u w:val="single"/>
        </w:rPr>
        <w:t>6.1、备品备件及耗材等要求</w:t>
      </w:r>
    </w:p>
    <w:p w14:paraId="0057989A">
      <w:pPr>
        <w:pStyle w:val="279"/>
        <w:spacing w:line="440" w:lineRule="exact"/>
        <w:ind w:firstLine="500"/>
        <w:rPr>
          <w:rFonts w:ascii="宋体" w:hAnsi="宋体" w:cs="宋体"/>
          <w:b/>
          <w:color w:val="000000"/>
          <w:sz w:val="28"/>
          <w:szCs w:val="28"/>
        </w:rPr>
      </w:pPr>
      <w:bookmarkStart w:id="184" w:name="EBeba33935409e4c76a800f8c7f49348de"/>
      <w:bookmarkEnd w:id="184"/>
      <w:r>
        <w:rPr>
          <w:rFonts w:eastAsia="宋体"/>
          <w:i/>
          <w:spacing w:val="7"/>
          <w:u w:val="single"/>
        </w:rPr>
        <w:t>备品备件及耗材均使用原厂件。</w:t>
      </w:r>
    </w:p>
    <w:p w14:paraId="38C3995F">
      <w:pPr>
        <w:widowControl/>
        <w:numPr>
          <w:ilvl w:val="0"/>
          <w:numId w:val="11"/>
        </w:numPr>
        <w:spacing w:before="120" w:after="120"/>
        <w:ind w:firstLine="0"/>
        <w:outlineLvl w:val="1"/>
        <w:rPr>
          <w:rFonts w:ascii="宋体" w:hAnsi="宋体" w:cs="宋体"/>
          <w:b/>
          <w:color w:val="000000"/>
          <w:sz w:val="28"/>
          <w:szCs w:val="28"/>
        </w:rPr>
      </w:pPr>
      <w:r>
        <w:rPr>
          <w:rFonts w:hint="eastAsia" w:ascii="宋体" w:hAnsi="宋体" w:cs="宋体"/>
          <w:b/>
          <w:color w:val="000000"/>
          <w:sz w:val="28"/>
          <w:szCs w:val="28"/>
        </w:rPr>
        <w:t xml:space="preserve">其他部分 </w:t>
      </w:r>
    </w:p>
    <w:p w14:paraId="5FDB7509">
      <w:pPr>
        <w:pStyle w:val="47"/>
        <w:jc w:val="center"/>
        <w:rPr>
          <w:rFonts w:ascii="Times New Roman" w:hAnsi="Times New Roman" w:eastAsia="宋体" w:cs="Times New Roman"/>
          <w:b/>
          <w:spacing w:val="7"/>
          <w:sz w:val="28"/>
          <w:szCs w:val="28"/>
          <w:lang w:val="en-US" w:eastAsia="zh-CN" w:bidi="ar-SA"/>
        </w:rPr>
      </w:pPr>
      <w:r>
        <w:rPr>
          <w:rFonts w:hint="eastAsia" w:ascii="Times New Roman" w:hAnsi="Times New Roman" w:eastAsia="宋体" w:cs="Times New Roman"/>
          <w:b/>
          <w:spacing w:val="7"/>
          <w:sz w:val="28"/>
          <w:szCs w:val="28"/>
          <w:lang w:val="en-US" w:eastAsia="zh-CN" w:bidi="ar-SA"/>
        </w:rPr>
        <w:t>锦丰镇拆迁安置小区电动自行车充电桩明细表</w:t>
      </w:r>
    </w:p>
    <w:tbl>
      <w:tblPr>
        <w:tblStyle w:val="37"/>
        <w:tblW w:w="111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33"/>
        <w:gridCol w:w="1271"/>
        <w:gridCol w:w="1549"/>
        <w:gridCol w:w="2114"/>
        <w:gridCol w:w="572"/>
        <w:gridCol w:w="743"/>
        <w:gridCol w:w="743"/>
        <w:gridCol w:w="681"/>
        <w:gridCol w:w="796"/>
        <w:gridCol w:w="681"/>
        <w:gridCol w:w="698"/>
        <w:gridCol w:w="715"/>
      </w:tblGrid>
      <w:tr w14:paraId="66196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2FB487">
            <w:pPr>
              <w:keepNext w:val="0"/>
              <w:keepLines w:val="0"/>
              <w:widowControl/>
              <w:suppressLineNumbers w:val="0"/>
              <w:ind w:left="0" w:leftChars="0" w:firstLine="0" w:firstLineChars="0"/>
              <w:jc w:val="center"/>
              <w:textAlignment w:val="center"/>
              <w:rPr>
                <w:rFonts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序号</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D785C5">
            <w:pPr>
              <w:keepNext w:val="0"/>
              <w:keepLines w:val="0"/>
              <w:widowControl/>
              <w:suppressLineNumbers w:val="0"/>
              <w:ind w:left="0" w:leftChars="0" w:firstLine="0" w:firstLineChars="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村社区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4710BC">
            <w:pPr>
              <w:keepNext w:val="0"/>
              <w:keepLines w:val="0"/>
              <w:widowControl/>
              <w:suppressLineNumbers w:val="0"/>
              <w:ind w:left="0" w:leftChars="0" w:firstLine="0" w:firstLineChars="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小区名称</w:t>
            </w:r>
          </w:p>
        </w:tc>
        <w:tc>
          <w:tcPr>
            <w:tcW w:w="21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BAC6FD">
            <w:pPr>
              <w:keepNext w:val="0"/>
              <w:keepLines w:val="0"/>
              <w:widowControl/>
              <w:suppressLineNumbers w:val="0"/>
              <w:ind w:left="0" w:leftChars="0" w:firstLine="0" w:firstLineChars="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充电桩具体位置</w:t>
            </w:r>
          </w:p>
        </w:tc>
        <w:tc>
          <w:tcPr>
            <w:tcW w:w="572"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2B0AD2">
            <w:pPr>
              <w:keepNext w:val="0"/>
              <w:keepLines w:val="0"/>
              <w:widowControl/>
              <w:suppressLineNumbers w:val="0"/>
              <w:ind w:left="0" w:leftChars="0" w:firstLine="0" w:firstLineChars="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充电棚数量</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8E81A0">
            <w:pPr>
              <w:keepNext w:val="0"/>
              <w:keepLines w:val="0"/>
              <w:widowControl/>
              <w:suppressLineNumbers w:val="0"/>
              <w:ind w:left="0" w:leftChars="0" w:firstLine="0" w:firstLineChars="0"/>
              <w:jc w:val="center"/>
              <w:textAlignment w:val="center"/>
              <w:rPr>
                <w:rFonts w:hint="default" w:ascii="仿宋_GB2312" w:hAnsi="宋体" w:eastAsia="仿宋_GB2312" w:cs="仿宋_GB2312"/>
                <w:b/>
                <w:bCs/>
                <w:i w:val="0"/>
                <w:iCs w:val="0"/>
                <w:color w:val="000000"/>
                <w:kern w:val="0"/>
                <w:sz w:val="21"/>
                <w:szCs w:val="21"/>
                <w:u w:val="none"/>
                <w:lang w:val="en-US" w:eastAsia="zh-CN" w:bidi="ar"/>
              </w:rPr>
            </w:pPr>
            <w:r>
              <w:rPr>
                <w:rFonts w:hint="default" w:ascii="仿宋_GB2312" w:hAnsi="宋体" w:eastAsia="仿宋_GB2312" w:cs="仿宋_GB2312"/>
                <w:b/>
                <w:bCs/>
                <w:i w:val="0"/>
                <w:iCs w:val="0"/>
                <w:color w:val="000000"/>
                <w:kern w:val="0"/>
                <w:sz w:val="21"/>
                <w:szCs w:val="21"/>
                <w:u w:val="none"/>
                <w:lang w:val="en-US" w:eastAsia="zh-CN" w:bidi="ar"/>
              </w:rPr>
              <w:t>充电头数量（个）</w:t>
            </w:r>
          </w:p>
        </w:tc>
        <w:tc>
          <w:tcPr>
            <w:tcW w:w="74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182A1">
            <w:pPr>
              <w:keepNext w:val="0"/>
              <w:keepLines w:val="0"/>
              <w:widowControl/>
              <w:suppressLineNumbers w:val="0"/>
              <w:ind w:left="0" w:leftChars="0" w:firstLine="0" w:firstLineChars="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增加锂电池灭火器</w:t>
            </w:r>
          </w:p>
        </w:tc>
        <w:tc>
          <w:tcPr>
            <w:tcW w:w="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E141EA">
            <w:pPr>
              <w:keepNext w:val="0"/>
              <w:keepLines w:val="0"/>
              <w:widowControl/>
              <w:suppressLineNumbers w:val="0"/>
              <w:ind w:left="0" w:leftChars="0" w:firstLine="0" w:firstLineChars="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增加普通监控</w:t>
            </w:r>
          </w:p>
        </w:tc>
        <w:tc>
          <w:tcPr>
            <w:tcW w:w="79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86537D">
            <w:pPr>
              <w:keepNext w:val="0"/>
              <w:keepLines w:val="0"/>
              <w:widowControl/>
              <w:suppressLineNumbers w:val="0"/>
              <w:ind w:left="0" w:leftChars="0" w:firstLine="0" w:firstLineChars="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增加AI监控</w:t>
            </w:r>
          </w:p>
        </w:tc>
        <w:tc>
          <w:tcPr>
            <w:tcW w:w="68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B2112F">
            <w:pPr>
              <w:keepNext w:val="0"/>
              <w:keepLines w:val="0"/>
              <w:widowControl/>
              <w:suppressLineNumbers w:val="0"/>
              <w:ind w:left="0" w:leftChars="0" w:firstLine="0" w:firstLineChars="0"/>
              <w:jc w:val="center"/>
              <w:textAlignment w:val="center"/>
              <w:rPr>
                <w:rFonts w:hint="default" w:ascii="仿宋_GB2312" w:hAnsi="宋体" w:eastAsia="仿宋_GB2312" w:cs="仿宋_GB2312"/>
                <w:b/>
                <w:bCs/>
                <w:i w:val="0"/>
                <w:iCs w:val="0"/>
                <w:color w:val="000000"/>
                <w:sz w:val="21"/>
                <w:szCs w:val="21"/>
                <w:u w:val="none"/>
              </w:rPr>
            </w:pPr>
            <w:r>
              <w:rPr>
                <w:rFonts w:hint="default" w:ascii="仿宋_GB2312" w:hAnsi="宋体" w:eastAsia="仿宋_GB2312" w:cs="仿宋_GB2312"/>
                <w:b/>
                <w:bCs/>
                <w:i w:val="0"/>
                <w:iCs w:val="0"/>
                <w:color w:val="000000"/>
                <w:kern w:val="0"/>
                <w:sz w:val="21"/>
                <w:szCs w:val="21"/>
                <w:u w:val="none"/>
                <w:lang w:val="en-US" w:eastAsia="zh-CN" w:bidi="ar"/>
              </w:rPr>
              <w:t>增加智能烟感</w:t>
            </w:r>
          </w:p>
        </w:tc>
        <w:tc>
          <w:tcPr>
            <w:tcW w:w="69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8F25EE">
            <w:pPr>
              <w:keepNext w:val="0"/>
              <w:keepLines w:val="0"/>
              <w:widowControl/>
              <w:suppressLineNumbers w:val="0"/>
              <w:ind w:left="0" w:leftChars="0" w:firstLine="0" w:firstLineChars="0"/>
              <w:jc w:val="center"/>
              <w:textAlignment w:val="center"/>
              <w:rPr>
                <w:rFonts w:hint="default" w:ascii="仿宋_GB2312" w:hAnsi="宋体" w:eastAsia="仿宋_GB2312" w:cs="仿宋_GB2312"/>
                <w:b/>
                <w:bCs/>
                <w:i w:val="0"/>
                <w:iCs w:val="0"/>
                <w:color w:val="000000"/>
                <w:kern w:val="0"/>
                <w:sz w:val="21"/>
                <w:szCs w:val="21"/>
                <w:u w:val="none"/>
                <w:lang w:val="en-US" w:eastAsia="zh-CN" w:bidi="ar"/>
              </w:rPr>
            </w:pPr>
            <w:r>
              <w:rPr>
                <w:rFonts w:hint="default" w:ascii="仿宋_GB2312" w:hAnsi="宋体" w:eastAsia="仿宋_GB2312" w:cs="仿宋_GB2312"/>
                <w:b/>
                <w:bCs/>
                <w:i w:val="0"/>
                <w:iCs w:val="0"/>
                <w:color w:val="000000"/>
                <w:kern w:val="0"/>
                <w:sz w:val="21"/>
                <w:szCs w:val="21"/>
                <w:u w:val="none"/>
                <w:lang w:val="en-US" w:eastAsia="zh-CN" w:bidi="ar"/>
              </w:rPr>
              <w:t>消防长沟</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98B3E3">
            <w:pPr>
              <w:keepNext w:val="0"/>
              <w:keepLines w:val="0"/>
              <w:widowControl/>
              <w:suppressLineNumbers w:val="0"/>
              <w:ind w:left="0" w:leftChars="0" w:firstLine="0" w:firstLineChars="0"/>
              <w:jc w:val="center"/>
              <w:textAlignment w:val="center"/>
              <w:rPr>
                <w:rFonts w:hint="default" w:ascii="仿宋_GB2312" w:hAnsi="宋体" w:eastAsia="仿宋_GB2312" w:cs="仿宋_GB2312"/>
                <w:b/>
                <w:bCs/>
                <w:i w:val="0"/>
                <w:iCs w:val="0"/>
                <w:color w:val="000000"/>
                <w:kern w:val="0"/>
                <w:sz w:val="21"/>
                <w:szCs w:val="21"/>
                <w:u w:val="none"/>
                <w:lang w:val="en-US" w:eastAsia="zh-CN" w:bidi="ar"/>
              </w:rPr>
            </w:pPr>
            <w:r>
              <w:rPr>
                <w:rFonts w:hint="default" w:ascii="仿宋_GB2312" w:hAnsi="宋体" w:eastAsia="仿宋_GB2312" w:cs="仿宋_GB2312"/>
                <w:b/>
                <w:bCs/>
                <w:i w:val="0"/>
                <w:iCs w:val="0"/>
                <w:color w:val="000000"/>
                <w:kern w:val="0"/>
                <w:sz w:val="21"/>
                <w:szCs w:val="21"/>
                <w:u w:val="none"/>
                <w:lang w:val="en-US" w:eastAsia="zh-CN" w:bidi="ar"/>
              </w:rPr>
              <w:t>备注</w:t>
            </w:r>
          </w:p>
        </w:tc>
      </w:tr>
      <w:tr w14:paraId="53C3AE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85842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sz w:val="21"/>
                <w:szCs w:val="21"/>
                <w:u w:val="none"/>
              </w:rPr>
            </w:pPr>
            <w:r>
              <w:rPr>
                <w:rFonts w:hint="default" w:ascii="仿宋_GB2312" w:hAnsi="宋体" w:eastAsia="仿宋_GB2312" w:cs="仿宋_GB2312"/>
                <w:i w:val="0"/>
                <w:iCs w:val="0"/>
                <w:color w:val="000000"/>
                <w:kern w:val="0"/>
                <w:sz w:val="21"/>
                <w:szCs w:val="21"/>
                <w:u w:val="none"/>
                <w:lang w:val="en-US" w:eastAsia="zh-CN" w:bidi="ar"/>
              </w:rPr>
              <w:t>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91DF2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143E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BA8C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29幢旁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C846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B14ED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84AB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427D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3496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D308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1054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768B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922F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5E092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127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3F69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CCF3D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3CA03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23幢旁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E53BF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92541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9AB81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76B9F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2CD7B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318D0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433E7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DF04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86AE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B3BFB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E251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A120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DF9E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E8DE6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181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48FC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39F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E5D5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97A3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7AACE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2B9CC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7AE4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7F48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CDBB6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9F620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5D7E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21幢旁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854E7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C616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768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98CE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21CE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4E112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D39AC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A5B4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3752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AFD2E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471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CCD1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86B7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33幢旁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F12C5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35E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F84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C51B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E48C6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7FBA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16EA1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8088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D6FD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910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B6E2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F3E1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0AE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EA928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B26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B7A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64A9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4B6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4AD8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40329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AF764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CB85E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0A67D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350D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5417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F44C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E10DE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2DCD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6C5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84C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4CF9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73B0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7877C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C811A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5A2A1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3E76C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F245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EEB4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765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23279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C1917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8298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AC28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406C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E908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1D53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F5A1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872E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A0F08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E4A4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E100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7BF1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ED2BE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573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C90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B3CBA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9C0F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966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F6344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3D791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EA38C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A8633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61D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99BE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575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39幢旁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80109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87DC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42B5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E67B5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C87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26CE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150C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1D9CE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7920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E05EE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2B9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38C4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6014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26幢旁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40271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574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FEF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F4D9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7FF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B946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1DFF6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71D03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3E91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BF9BF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161B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358E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25D1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284BB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F16E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1BB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5B07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42FD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769F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CB603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67044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DAF7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D5F78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7A9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DBBD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ABFC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74BE8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9677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177C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0C60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3192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8D61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97B06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F5C35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41D0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1960C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DC80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26F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679B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7556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2018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D49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E9F3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943F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D9141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5DA8E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05F5B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A9F6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E4B57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7E1E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C03E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3551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31幢旁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9013E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65B1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102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3F81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12C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1AD0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638A7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00E55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54E79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08C8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49FB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1366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E7A1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27幢旁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3B176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7F69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253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ACA3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721A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1F2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438BA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D916A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5834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14D33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F5C9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398C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向阳一村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F31B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1C78D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8BBD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99F8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35DF5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F433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324A5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BAE20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6245A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BB285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471E7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D552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悦来社区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CDED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悦来三村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E2D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22幢旁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3923B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8010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8CBC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BBF1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AAB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BB59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86EB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3BBA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3369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41F3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19</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F8F2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悦来社区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02D2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悦来花苑东区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6553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垃圾房旁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DCC1C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A040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F3C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893F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6876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C47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5FB5C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9E04F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8356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B91CD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E6D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82F0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60C8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17幢东</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8CFAF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C52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4D94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DBCA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FFB4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E18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3166D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59A3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3004A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B5894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2E5F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117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7EB5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11幢1单元北</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09FA3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4A47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1C37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BEFD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E887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2AD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8B131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5EC5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66E1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E425D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FEA5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922B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B6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21幢东</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EA803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AAFD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579A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C75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1C79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C81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B8929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DCB5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A93D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35AF1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6870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8542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42FD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23幢西</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9CC2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F657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FADE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AEC7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C7BF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A8ED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8FF7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32702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D9B9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E1AB6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24</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E290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2CDD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雁鸿新村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54DB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1幢1单元</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141DB79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9D6E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1C58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FEBC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334D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2B1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E089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96286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6891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4B8FE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B9F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E9C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C2FD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南门</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996CA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950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75CE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2B881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D650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E057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02C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6D284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EA5D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F9D7B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3C3E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719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773D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28幢东</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AA22F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3A72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AC93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D324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64AB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84B0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E2B6D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8BCB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AFA1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D59B0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27</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732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十一圩港村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0ACD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沙钢厚生二村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E61D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门卫</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8402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676C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C95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843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5865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EC39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E221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7E1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A673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7BEFE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E8D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常家村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BA7D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大南花苑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C3E6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40幢旁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D1D1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AC1F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3378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371D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393F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08DF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EFF3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4E55C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73B6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70C5D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29</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05C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常家村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AB61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大南五村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D4B8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2幢北</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F63C0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590D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E5EFF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F3B6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4991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0CA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8964A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118D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7FCB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C091F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853B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常家村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D2D7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大南五村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BDC8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19幢西</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0DF3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34290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616D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8B61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6AC9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48C3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A639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42D4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0BAD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23FA7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B111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常家村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4337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大南三村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DBC4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28幢一单元</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E7CD2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5A284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12B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5589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513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1A6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3F4B0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AF0B0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E379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2A024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37007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常家村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47A2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大南三村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0C6B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17幢西</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F84A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590D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6607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134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03B3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A89C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1A29C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4CA8D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E572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73122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B74BF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常家村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A614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大南三村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120B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31幢西</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1D931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608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D1EA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FFC1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5AD8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7A87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51EC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8076C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1E1D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CE661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34</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1826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洪福村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24E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悦来六村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B46C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31幢旁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7078C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BC6F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20FC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8F9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86F5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85EB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9FC8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1114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9610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08B53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6645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洪福村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9D32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悦来六村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BCD5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3D67E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760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BD75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4531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12AE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D584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4BB4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608E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6B69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ADF4B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F4E3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洪福村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ED21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悦来六村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F276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AC56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E7E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C4A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0F41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54AF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5E33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7C569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3DAA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8497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DE1D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37</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63F2C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1ABE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9B3A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1幢西</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2C2FB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55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3099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7953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C94B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F87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E42A3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ABF01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831D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738E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2F86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7F3B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EDB2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11幢东</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90887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C02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8104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50B9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C4AE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2776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3CB3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1A1F5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2B38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06A6D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39</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73CD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2D96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8298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13幢东</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BD0B1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4A46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7239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F4E9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CE13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B1FB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61BCA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E1832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24262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4E19A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75B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2F43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永盛花苑西区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3820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38幢旁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E40B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7C42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334C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06C7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D006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BEA8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ACE2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76FDE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EAA3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C8E5E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8D4E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7528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永盛花苑西区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21D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D171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473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5474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809A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AA1B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A23A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8BB0A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8124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1AA4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FC7E8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9942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E85D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永盛花苑西区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F86D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26幢旁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85241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0950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52B9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1722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E3B3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33AC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EA221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BA6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64F9F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4A90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E47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B1F3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永盛花苑西区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4178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22幢旁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3A42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9131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E7018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64A2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FFD1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3C2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5F2D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04E4C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16A4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FCC0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44</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3211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5965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永盛花苑东区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2F91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88F2B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E4A6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1E40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ABBA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C1AF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1557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404EB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1EEC4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06BDD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20390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2807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7BF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永盛花苑东区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42B7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63E9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07C33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B1A9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8B19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1DB9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7345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A79C8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19ACA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4BC8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FA1CA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B4CF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36B6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永盛花苑东区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C87C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5306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E7D8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3CA8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4D55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7AD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6943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9BBF6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7AA39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3B42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03323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47</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9624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5DF1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永盛花苑东区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236F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67E6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6704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0931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0C13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DF7F7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A9E2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9DBF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D9B16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DAEF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8F3FF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F01E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FCF2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永盛花苑东区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EBA6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7EB1C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EF48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6E40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8F7B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0D35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FC3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C1A52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848A9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E3DA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65B0A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49</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CAF8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EFA4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永盛花苑东区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DBC8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EFE2F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943F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8D43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E8D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7F2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8A89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6353C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1991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242F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78F8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7F5D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BCC1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永盛花苑3期</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5074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46幢旁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3F758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C137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E31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DA63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B262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F74A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E2A9B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717E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5F0A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464E6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CCBB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5D2E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永盛花苑3期</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21D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42幢旁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F1D10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5777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DA5F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8846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330F7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1DE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3D70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E99D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FC55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C573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123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2EAE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永盛花苑3期</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471C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44幢旁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ECEB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1601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4D4F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FEE9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2C62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9552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8A70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70FB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BA1C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2291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FA9B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08B9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向阳一村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E4BA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5幢旁</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FC540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9C4B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7340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089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2DDE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40A7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E6D8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E9125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05D0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1EC27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54</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022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59CF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EF48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40幢旁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BD9DB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7B6F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F254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502B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5321E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E28A1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83C99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E6945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EB78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7757F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0FFF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571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F5FD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D4EA2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A972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BDE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619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F39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B0C2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3408C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96DBD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D8F5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A5292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32E8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3CAD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76FE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97295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3245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3F6D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3E75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0613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80B2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E006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2F6B2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3553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CA0C7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57</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2ECB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A30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D9F5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DD1D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FBCA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D02C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EABC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7D4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3A33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A835A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838C8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9095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3160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E345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4D51A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76BD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21幢旁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926F9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C3C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6B83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766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922A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F0E2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9D9C8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7FA0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3A73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11622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59</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872D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5AD1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29A5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22幢旁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4591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7A8B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1C81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F647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31A0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1653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5835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3FBA1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6A83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36630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C00C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999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32D9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75幢旁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342F1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FAC3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E726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38E1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D8A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5630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FA360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6210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C3F0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59A95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9CC8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9B51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C63B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76幢旁</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483F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D8BB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3FAB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7A37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4C31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63D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A887F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5DEB3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0E226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97370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39B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7ECC5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6192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9幢东</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2EFAB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6201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E76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851F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56CB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C514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7BFA8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B2680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56EC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91FA5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AC3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45AB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2426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5幢西</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2CB0B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2231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28CD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2121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465C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5EB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1FCC6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2F58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DA07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83AD4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64</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EC1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94A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B7F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3幢北</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E9203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AD6A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C8FC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CD47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13F4C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E03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6E67C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2EC6C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80B2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BD33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F29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F722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书院三村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5FFC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6幢东</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BF1B1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9584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7140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47E6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C9D4F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5F2F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FCABA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38691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16F4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C8475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03AB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8E7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4CB4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28幢北</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04A30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80E3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CE8A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AEE4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7B5B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7AE9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41D9D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E4B23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0567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8326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67</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BD13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9BB5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B7BF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33幢</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22E0F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F894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E29A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CC61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23F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89CAB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AAAA5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9912F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0E54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B0D39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FD7D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D260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向阳一村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6CCE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34幢南侧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AD8A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95B3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4235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87FD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A2F4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EC7F7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BCF9D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8974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A3380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5570F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69</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2C3F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D18E4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向阳一村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6D258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23幢东侧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C0FD7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4C86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9F3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27F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E8A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672B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DF871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7FE1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4B3B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69E2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AD1B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3726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向阳一村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914BB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7幢北侧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A3620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DF6C8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EA12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2ED6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D2D1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820E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4CB72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C7177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F238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4A924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307D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B02C4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向阳一村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08AE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东门卫后面</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26987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283B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60E0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E2BA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6E5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1F4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EB5F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7846C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B3BD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6554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0DD6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B17E5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向阳一村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6ABE0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11幢北侧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3BCA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5FE9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610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D6B3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AC39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CE87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C7C5B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FD3C9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4572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48675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2B1E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4ACC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向阳一村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7748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40幢北侧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D43BE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FF5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CD213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387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3877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AE2C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2F819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93D67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00E1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3019B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74</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010C8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592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向阳一村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E0AE3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38幢南侧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18A6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DF13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7E09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CA3A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55F5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4B42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0010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BF65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01B4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D5A5A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5ABB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十一圩港村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04B0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厚生二村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F26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2幢西侧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51259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FB56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32A9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77FB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F85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336A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7F88C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EE904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211B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44F7B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3ACD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FD67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B43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33幢</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F90BC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1127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266A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F17D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8120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AB2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BDB9A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3452B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6E56B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D74D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77</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425B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EE4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4F26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24幢</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B4951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723CC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A0F6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45A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4B15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28D0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40813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2DC1B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1F91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66F4D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86AB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534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7C17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30幢西侧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9A117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816D0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4FF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DC81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AA47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5E85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D511B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241E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83776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854A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79</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C62E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01E5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95F3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后侧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1CCB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F7AC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FF1A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216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40E1F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5A7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9C2B3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D2F2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1201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99E1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6EF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0D0A5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C8BE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5幢</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E4913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FC2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10FA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F07C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8A284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B8BC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BAA44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3E63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A5B94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AA75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3037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AEC01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390E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5幢</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D8D96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FA4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7B72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9DBA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C8A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7C51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50323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07460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20B5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0DEFE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9A9B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A740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泓南新村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335D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170幢和173幢中间</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A506B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481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859C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64AE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FB20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6EF64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D3CE0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85DF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50B2A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BE188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0D7A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三兴社区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9122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海沙小区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F1DC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海沙篮球场周边</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55281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09D7B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F96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DCC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BBD8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0CF5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4EF0C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852CE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C37A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4A06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84</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587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AE7E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锦苑新村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A720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22幢</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CAE91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7F9E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C33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3F09C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838B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C5B6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B55B8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4DF71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94EE4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A5ED6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DEE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D3D8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锦苑新村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D37F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29幢西侧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654A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3352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D3C5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169D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DE82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3F7F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0B02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FB2D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9A34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15602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5A52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ECF7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瞿成新村1幢</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30D2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1幢</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9A05D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BF379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DBC3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5585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E32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81B5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DEDAF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FDB4B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F27E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F4FD8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87</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AEC5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7E45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瞿成新村2幢</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2928E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2幢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1385E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F04F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1572B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5F6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87FD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E34B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B3F1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9C1DC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F0FF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58AA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3D48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01B37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瞿成新村3幢</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737D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3幢</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DA73B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231B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4101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F1F3E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E3D3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7D2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E4DF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FCC5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8137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B79A8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89</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E8B9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B1FE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瞿成新村4幢</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CBF4F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4幢</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7BA4B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3941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7350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4D2C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C7E1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3F6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301E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86ECB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C6B9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AC366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C7FEC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EAAA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瞿成新村5幢</w:t>
            </w:r>
          </w:p>
        </w:tc>
        <w:tc>
          <w:tcPr>
            <w:tcW w:w="21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F0E58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A0A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4C5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8B00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33DBC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4B8B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6279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EC5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59908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AE1F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CC7BE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B88F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22ED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瞿成新村6幢</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AA85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2275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6A42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F4E4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60BE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CDF4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4B9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0602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8127E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DD66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DB7BA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227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6B3E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瞿成新村7幢东侧</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00F4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7幢东侧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1E435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009D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41B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C145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115B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755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E03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5635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0674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903B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1262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1E7B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瞿成新村7幢西侧</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FA7C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7幢西侧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24F5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D522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1B1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1E91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86A07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79C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8C0A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FCA75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0906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2CAF5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94</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22EA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永新社区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14BB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瞿成新村8幢</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9976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8幢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B525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F780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EBD7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787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C25F3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C256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E62F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CEE37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8CFA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84E4D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5357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F9C2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6D56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30幢边上</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B829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E287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A0CF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EB5F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EE99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0BDC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301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2DCE6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93F7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33174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DCE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2C165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FD08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书院社区边上</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996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E3BEF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D469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776B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3B55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32C9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95F6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0A815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2099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415AD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97</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77B4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535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0AFD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5幢南侧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96D7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59A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A3894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D8DF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AC94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221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774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48E33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E26B7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D8810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65DC3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7C7F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E5AD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北门口</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EA57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06AC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4D09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779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F98C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2F83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2C23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78419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8358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C2467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99</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A286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B13E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BCB6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北门口</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0DC6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42E2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5C53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B2DC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4B98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8015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C7A0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F8571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5C6D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1A488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CF73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8B0D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泓南新村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10972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173幢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DA6B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DB71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30B5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05E1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7A03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EFD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144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B1CDD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936D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1EA60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FCB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三兴社区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7D2C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海沙小区</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F97B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38幢北单元</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5613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071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2838E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A948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B20D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2060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18F9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B7B8A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4242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82A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99B8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5684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锦苑新村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538D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53D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518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8822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935D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38D7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F857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FD6E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B6385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0C7DC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4381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DD49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37A9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锦苑新村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143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22幢旁</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AC94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B876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1F1D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2CC8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89C8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5394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540D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D843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C7633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A07CB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104</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AF097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BD99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锦苑新村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149D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23幢南侧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C260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434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6B59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4CA4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8433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90EC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BCD0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440EE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692A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842B5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F619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十一圩港村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260E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厚生新村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F48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7F4E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1764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F371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A09E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A91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DCEE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C68A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667B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D631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85571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0BF5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64CC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锦苑新村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009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21幢南侧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F5430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2F26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D201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4A9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B8B7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B81A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F127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CA1CB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3984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966E8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107</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024B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270E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西兴花苑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6A2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4幢北侧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D8F6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3E8B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0998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70FB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45A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B83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9542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315C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CF374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D0A59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B5D1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2EE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西兴花苑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AD8A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9幢北侧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E8E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37D5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D59A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7E4F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ADE9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4A0B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051E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C6C73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080D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E1A69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109</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30A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9D0D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西兴花苑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E9D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10幢北侧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69C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817E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BA6D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ABE90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41CA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321C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200D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A32E5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DC5FB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C6FE5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76BD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31EA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西兴花苑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7BE2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公益食堂西侧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971D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2D42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8219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6D3E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148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381A3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B09B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8893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83D2A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D787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F79E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EA5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锦丰新村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9347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A1A4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4A2B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CFA8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6BD8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69B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3440B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369F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DDC4B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2ACD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EB2AB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112</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2E50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C613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锦丰新村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1875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9幢东侧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5A85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0EB0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A3F5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75B0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A4E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2F1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CA3B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2D91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A5C75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B6098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113</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2B1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3AA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沙钢新村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A632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3幢西侧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70EC8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74B0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82EA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A161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3A88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514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A935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BBED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DA79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32489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114</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AEE0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96A1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沙钢新村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D305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6幢西侧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E330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B9C5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84F59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2121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4B9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88F9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81EC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C0E86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FCC6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503A1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115</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11DF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C3AD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沙钢新村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BDA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11幢东侧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65EC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28BBBD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6EEB5E3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549079B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392D182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2ECAC52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nil"/>
              <w:right w:val="single" w:color="000000" w:sz="4" w:space="0"/>
            </w:tcBorders>
            <w:shd w:val="clear" w:color="auto" w:fill="auto"/>
            <w:noWrap/>
            <w:vAlign w:val="center"/>
          </w:tcPr>
          <w:p w14:paraId="7EFE8F0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0BE19BB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E03F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BF584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116</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BB64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0E25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沙钢新村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A5F5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13幢西侧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3E88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6CB90D8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0C39B66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2673005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07E2568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28F4BA8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7F11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3B2D9DB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B8F2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FEE5A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117</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B98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38F5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沙钢新村</w:t>
            </w:r>
          </w:p>
        </w:tc>
        <w:tc>
          <w:tcPr>
            <w:tcW w:w="211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B618F4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35幢西侧</w:t>
            </w:r>
          </w:p>
        </w:tc>
        <w:tc>
          <w:tcPr>
            <w:tcW w:w="57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045E3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312102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D81349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F6E021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E18D37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CEFB69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69F0D3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auto" w:sz="4" w:space="0"/>
              <w:right w:val="single" w:color="000000" w:sz="4" w:space="0"/>
            </w:tcBorders>
            <w:shd w:val="clear" w:color="auto" w:fill="FFFFFF"/>
            <w:vAlign w:val="center"/>
          </w:tcPr>
          <w:p w14:paraId="1886E2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4219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6C9E4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118</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206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auto" w:sz="4" w:space="0"/>
            </w:tcBorders>
            <w:shd w:val="clear" w:color="auto" w:fill="auto"/>
            <w:noWrap/>
            <w:vAlign w:val="center"/>
          </w:tcPr>
          <w:p w14:paraId="690EC49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沙钢新村</w:t>
            </w:r>
          </w:p>
        </w:tc>
        <w:tc>
          <w:tcPr>
            <w:tcW w:w="2114"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27809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37幢西侧</w:t>
            </w:r>
          </w:p>
        </w:tc>
        <w:tc>
          <w:tcPr>
            <w:tcW w:w="57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F02BD3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CD17B1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48F9B2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DC1D3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357BD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A6341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89EA68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auto" w:sz="4" w:space="0"/>
              <w:left w:val="single" w:color="auto" w:sz="4" w:space="0"/>
              <w:bottom w:val="single" w:color="auto" w:sz="4" w:space="0"/>
              <w:right w:val="single" w:color="auto" w:sz="4" w:space="0"/>
            </w:tcBorders>
            <w:shd w:val="clear" w:color="auto" w:fill="FFFFFF"/>
            <w:vAlign w:val="center"/>
          </w:tcPr>
          <w:p w14:paraId="1A66C7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7B7C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9F0F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119</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EAF1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0E87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新华新村</w:t>
            </w:r>
          </w:p>
        </w:tc>
        <w:tc>
          <w:tcPr>
            <w:tcW w:w="2114"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0C76DF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4幢东侧</w:t>
            </w:r>
          </w:p>
        </w:tc>
        <w:tc>
          <w:tcPr>
            <w:tcW w:w="57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F0594F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auto" w:sz="4" w:space="0"/>
              <w:left w:val="single" w:color="000000" w:sz="4" w:space="0"/>
              <w:bottom w:val="nil"/>
              <w:right w:val="single" w:color="000000" w:sz="4" w:space="0"/>
            </w:tcBorders>
            <w:shd w:val="clear" w:color="auto" w:fill="auto"/>
            <w:noWrap/>
            <w:vAlign w:val="center"/>
          </w:tcPr>
          <w:p w14:paraId="69E762C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auto" w:sz="4" w:space="0"/>
              <w:left w:val="single" w:color="000000" w:sz="4" w:space="0"/>
              <w:bottom w:val="nil"/>
              <w:right w:val="single" w:color="000000" w:sz="4" w:space="0"/>
            </w:tcBorders>
            <w:shd w:val="clear" w:color="auto" w:fill="auto"/>
            <w:noWrap/>
            <w:vAlign w:val="center"/>
          </w:tcPr>
          <w:p w14:paraId="7917AED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auto" w:sz="4" w:space="0"/>
              <w:left w:val="single" w:color="000000" w:sz="4" w:space="0"/>
              <w:bottom w:val="nil"/>
              <w:right w:val="single" w:color="000000" w:sz="4" w:space="0"/>
            </w:tcBorders>
            <w:shd w:val="clear" w:color="auto" w:fill="auto"/>
            <w:noWrap/>
            <w:vAlign w:val="center"/>
          </w:tcPr>
          <w:p w14:paraId="0899E0B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auto" w:sz="4" w:space="0"/>
              <w:left w:val="single" w:color="000000" w:sz="4" w:space="0"/>
              <w:bottom w:val="nil"/>
              <w:right w:val="single" w:color="000000" w:sz="4" w:space="0"/>
            </w:tcBorders>
            <w:shd w:val="clear" w:color="auto" w:fill="auto"/>
            <w:noWrap/>
            <w:vAlign w:val="center"/>
          </w:tcPr>
          <w:p w14:paraId="06DDF4D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auto" w:sz="4" w:space="0"/>
              <w:left w:val="single" w:color="000000" w:sz="4" w:space="0"/>
              <w:bottom w:val="nil"/>
              <w:right w:val="single" w:color="000000" w:sz="4" w:space="0"/>
            </w:tcBorders>
            <w:shd w:val="clear" w:color="auto" w:fill="auto"/>
            <w:noWrap/>
            <w:vAlign w:val="center"/>
          </w:tcPr>
          <w:p w14:paraId="7A6336A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ABEE4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auto" w:sz="4" w:space="0"/>
              <w:left w:val="single" w:color="000000" w:sz="4" w:space="0"/>
              <w:bottom w:val="nil"/>
              <w:right w:val="single" w:color="000000" w:sz="4" w:space="0"/>
            </w:tcBorders>
            <w:shd w:val="clear" w:color="auto" w:fill="FFFFFF"/>
            <w:vAlign w:val="center"/>
          </w:tcPr>
          <w:p w14:paraId="4494043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DCAED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87BE2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120</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0E98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F5BB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新华新村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8EC3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21幢北侧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69431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69649A0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3BBA20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3F733D7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454B080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3F4691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6070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26D91D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4A81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787E7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121</w:t>
            </w:r>
          </w:p>
        </w:tc>
        <w:tc>
          <w:tcPr>
            <w:tcW w:w="12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0039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常家村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20CC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大南三村</w:t>
            </w:r>
          </w:p>
        </w:tc>
        <w:tc>
          <w:tcPr>
            <w:tcW w:w="211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CDF35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13幢北侧</w:t>
            </w:r>
          </w:p>
        </w:tc>
        <w:tc>
          <w:tcPr>
            <w:tcW w:w="572"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034FD1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6513D8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5A4614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F51AAA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AB9A91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B6C3CC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18DAE3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auto" w:sz="4" w:space="0"/>
              <w:right w:val="single" w:color="000000" w:sz="4" w:space="0"/>
            </w:tcBorders>
            <w:shd w:val="clear" w:color="auto" w:fill="FFFFFF"/>
            <w:vAlign w:val="center"/>
          </w:tcPr>
          <w:p w14:paraId="7CBA928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1DE95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A24E9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122</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9773E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常家村</w:t>
            </w:r>
          </w:p>
        </w:tc>
        <w:tc>
          <w:tcPr>
            <w:tcW w:w="1549"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0D24789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大南三村</w:t>
            </w:r>
          </w:p>
        </w:tc>
        <w:tc>
          <w:tcPr>
            <w:tcW w:w="2114" w:type="dxa"/>
            <w:tcBorders>
              <w:top w:val="single" w:color="auto" w:sz="4" w:space="0"/>
              <w:left w:val="single" w:color="auto" w:sz="4" w:space="0"/>
              <w:bottom w:val="single" w:color="auto" w:sz="4" w:space="0"/>
              <w:right w:val="single" w:color="auto" w:sz="4" w:space="0"/>
            </w:tcBorders>
            <w:shd w:val="clear" w:color="auto" w:fill="FFFFFF"/>
            <w:vAlign w:val="center"/>
          </w:tcPr>
          <w:p w14:paraId="33C7BC5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35幢南侧</w:t>
            </w:r>
          </w:p>
        </w:tc>
        <w:tc>
          <w:tcPr>
            <w:tcW w:w="57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620CC9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E94FE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C7D30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4735F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E9CAC4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A06D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F9F758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auto" w:sz="4" w:space="0"/>
              <w:left w:val="single" w:color="auto" w:sz="4" w:space="0"/>
              <w:bottom w:val="single" w:color="auto" w:sz="4" w:space="0"/>
              <w:right w:val="single" w:color="auto" w:sz="4" w:space="0"/>
            </w:tcBorders>
            <w:shd w:val="clear" w:color="auto" w:fill="FFFFFF"/>
            <w:vAlign w:val="center"/>
          </w:tcPr>
          <w:p w14:paraId="41A03BD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4ED0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F103F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123</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930C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常家村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6C2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大南五村</w:t>
            </w:r>
          </w:p>
        </w:tc>
        <w:tc>
          <w:tcPr>
            <w:tcW w:w="2114" w:type="dxa"/>
            <w:tcBorders>
              <w:top w:val="single" w:color="auto" w:sz="4" w:space="0"/>
              <w:left w:val="single" w:color="000000" w:sz="4" w:space="0"/>
              <w:bottom w:val="single" w:color="000000" w:sz="4" w:space="0"/>
              <w:right w:val="single" w:color="000000" w:sz="4" w:space="0"/>
            </w:tcBorders>
            <w:shd w:val="clear" w:color="auto" w:fill="FFFFFF"/>
            <w:vAlign w:val="center"/>
          </w:tcPr>
          <w:p w14:paraId="1D22DA9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15幢北侧</w:t>
            </w:r>
          </w:p>
        </w:tc>
        <w:tc>
          <w:tcPr>
            <w:tcW w:w="572"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495E5D9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auto" w:sz="4" w:space="0"/>
              <w:left w:val="single" w:color="000000" w:sz="4" w:space="0"/>
              <w:bottom w:val="nil"/>
              <w:right w:val="single" w:color="000000" w:sz="4" w:space="0"/>
            </w:tcBorders>
            <w:shd w:val="clear" w:color="auto" w:fill="auto"/>
            <w:noWrap/>
            <w:vAlign w:val="center"/>
          </w:tcPr>
          <w:p w14:paraId="14ACCB9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auto" w:sz="4" w:space="0"/>
              <w:left w:val="single" w:color="000000" w:sz="4" w:space="0"/>
              <w:bottom w:val="nil"/>
              <w:right w:val="single" w:color="000000" w:sz="4" w:space="0"/>
            </w:tcBorders>
            <w:shd w:val="clear" w:color="auto" w:fill="auto"/>
            <w:noWrap/>
            <w:vAlign w:val="center"/>
          </w:tcPr>
          <w:p w14:paraId="7BE9A9D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auto" w:sz="4" w:space="0"/>
              <w:left w:val="single" w:color="000000" w:sz="4" w:space="0"/>
              <w:bottom w:val="nil"/>
              <w:right w:val="single" w:color="000000" w:sz="4" w:space="0"/>
            </w:tcBorders>
            <w:shd w:val="clear" w:color="auto" w:fill="auto"/>
            <w:noWrap/>
            <w:vAlign w:val="center"/>
          </w:tcPr>
          <w:p w14:paraId="21627AF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000000" w:sz="4" w:space="0"/>
              <w:bottom w:val="nil"/>
              <w:right w:val="single" w:color="000000" w:sz="4" w:space="0"/>
            </w:tcBorders>
            <w:shd w:val="clear" w:color="auto" w:fill="auto"/>
            <w:noWrap/>
            <w:vAlign w:val="center"/>
          </w:tcPr>
          <w:p w14:paraId="6D0E504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auto" w:sz="4" w:space="0"/>
              <w:left w:val="single" w:color="000000" w:sz="4" w:space="0"/>
              <w:bottom w:val="nil"/>
              <w:right w:val="single" w:color="000000" w:sz="4" w:space="0"/>
            </w:tcBorders>
            <w:shd w:val="clear" w:color="auto" w:fill="auto"/>
            <w:noWrap/>
            <w:vAlign w:val="center"/>
          </w:tcPr>
          <w:p w14:paraId="1CEF8B9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5B0F395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auto" w:sz="4" w:space="0"/>
              <w:left w:val="single" w:color="000000" w:sz="4" w:space="0"/>
              <w:bottom w:val="nil"/>
              <w:right w:val="single" w:color="000000" w:sz="4" w:space="0"/>
            </w:tcBorders>
            <w:shd w:val="clear" w:color="auto" w:fill="FFFFFF"/>
            <w:vAlign w:val="center"/>
          </w:tcPr>
          <w:p w14:paraId="4050A0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B67E4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3829D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124</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6E06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BAA92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DEF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合兴花苑南门口</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2E2BB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7BD20D5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6294F16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548CBA3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6DABAC8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4656C9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55C45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6F127FA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4255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D0641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125</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7EBDD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9E08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合兴花苑</w:t>
            </w:r>
          </w:p>
        </w:tc>
        <w:tc>
          <w:tcPr>
            <w:tcW w:w="2114" w:type="dxa"/>
            <w:tcBorders>
              <w:top w:val="single" w:color="000000" w:sz="4" w:space="0"/>
              <w:left w:val="single" w:color="000000" w:sz="4" w:space="0"/>
              <w:bottom w:val="single" w:color="auto" w:sz="4" w:space="0"/>
              <w:right w:val="single" w:color="000000" w:sz="4" w:space="0"/>
            </w:tcBorders>
            <w:shd w:val="clear" w:color="auto" w:fill="FFFFFF"/>
            <w:vAlign w:val="center"/>
          </w:tcPr>
          <w:p w14:paraId="72EF48D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合兴花苑27幢西侧</w:t>
            </w:r>
          </w:p>
        </w:tc>
        <w:tc>
          <w:tcPr>
            <w:tcW w:w="572"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0AC2BB0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FA2AF1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4EF50D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367EEF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5F39B9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56674F1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0A20A45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auto" w:sz="4" w:space="0"/>
              <w:right w:val="single" w:color="000000" w:sz="4" w:space="0"/>
            </w:tcBorders>
            <w:shd w:val="clear" w:color="auto" w:fill="FFFFFF"/>
            <w:vAlign w:val="center"/>
          </w:tcPr>
          <w:p w14:paraId="25A9515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8B02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DCCE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126</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7BA5A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70893B9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合兴花苑</w:t>
            </w:r>
          </w:p>
        </w:tc>
        <w:tc>
          <w:tcPr>
            <w:tcW w:w="2114" w:type="dxa"/>
            <w:tcBorders>
              <w:top w:val="single" w:color="auto" w:sz="4" w:space="0"/>
              <w:left w:val="single" w:color="auto" w:sz="4" w:space="0"/>
              <w:bottom w:val="single" w:color="auto" w:sz="4" w:space="0"/>
              <w:right w:val="single" w:color="auto" w:sz="4" w:space="0"/>
            </w:tcBorders>
            <w:shd w:val="clear" w:color="auto" w:fill="FFFFFF"/>
            <w:vAlign w:val="center"/>
          </w:tcPr>
          <w:p w14:paraId="5986BCA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合兴花苑28幢北侧</w:t>
            </w:r>
          </w:p>
        </w:tc>
        <w:tc>
          <w:tcPr>
            <w:tcW w:w="57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01329E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559AA3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BF4BAC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0CD17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6F3EA8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D9494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C60F96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auto" w:sz="4" w:space="0"/>
              <w:left w:val="single" w:color="auto" w:sz="4" w:space="0"/>
              <w:bottom w:val="single" w:color="auto" w:sz="4" w:space="0"/>
              <w:right w:val="single" w:color="auto" w:sz="4" w:space="0"/>
            </w:tcBorders>
            <w:shd w:val="clear" w:color="auto" w:fill="FFFFFF"/>
            <w:vAlign w:val="center"/>
          </w:tcPr>
          <w:p w14:paraId="00321F6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210AA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4E121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127</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0F496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FEE7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w:t>
            </w:r>
          </w:p>
        </w:tc>
        <w:tc>
          <w:tcPr>
            <w:tcW w:w="2114" w:type="dxa"/>
            <w:tcBorders>
              <w:top w:val="single" w:color="auto" w:sz="4" w:space="0"/>
              <w:left w:val="single" w:color="000000" w:sz="4" w:space="0"/>
              <w:bottom w:val="single" w:color="000000" w:sz="4" w:space="0"/>
              <w:right w:val="single" w:color="000000" w:sz="4" w:space="0"/>
            </w:tcBorders>
            <w:shd w:val="clear" w:color="auto" w:fill="FFFFFF"/>
            <w:vAlign w:val="center"/>
          </w:tcPr>
          <w:p w14:paraId="587B30E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书院六村15幢西侧</w:t>
            </w:r>
          </w:p>
        </w:tc>
        <w:tc>
          <w:tcPr>
            <w:tcW w:w="572"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2EEEAC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auto" w:sz="4" w:space="0"/>
              <w:left w:val="single" w:color="000000" w:sz="4" w:space="0"/>
              <w:bottom w:val="nil"/>
              <w:right w:val="single" w:color="000000" w:sz="4" w:space="0"/>
            </w:tcBorders>
            <w:shd w:val="clear" w:color="auto" w:fill="auto"/>
            <w:noWrap/>
            <w:vAlign w:val="center"/>
          </w:tcPr>
          <w:p w14:paraId="65D2F72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w:t>
            </w:r>
          </w:p>
        </w:tc>
        <w:tc>
          <w:tcPr>
            <w:tcW w:w="743" w:type="dxa"/>
            <w:tcBorders>
              <w:top w:val="single" w:color="auto" w:sz="4" w:space="0"/>
              <w:left w:val="single" w:color="000000" w:sz="4" w:space="0"/>
              <w:bottom w:val="nil"/>
              <w:right w:val="single" w:color="000000" w:sz="4" w:space="0"/>
            </w:tcBorders>
            <w:shd w:val="clear" w:color="auto" w:fill="auto"/>
            <w:noWrap/>
            <w:vAlign w:val="center"/>
          </w:tcPr>
          <w:p w14:paraId="2FA055B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auto" w:sz="4" w:space="0"/>
              <w:left w:val="single" w:color="000000" w:sz="4" w:space="0"/>
              <w:bottom w:val="nil"/>
              <w:right w:val="single" w:color="000000" w:sz="4" w:space="0"/>
            </w:tcBorders>
            <w:shd w:val="clear" w:color="auto" w:fill="auto"/>
            <w:noWrap/>
            <w:vAlign w:val="center"/>
          </w:tcPr>
          <w:p w14:paraId="1703086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000000" w:sz="4" w:space="0"/>
              <w:bottom w:val="nil"/>
              <w:right w:val="single" w:color="000000" w:sz="4" w:space="0"/>
            </w:tcBorders>
            <w:shd w:val="clear" w:color="auto" w:fill="auto"/>
            <w:noWrap/>
            <w:vAlign w:val="center"/>
          </w:tcPr>
          <w:p w14:paraId="3DB608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auto" w:sz="4" w:space="0"/>
              <w:left w:val="single" w:color="000000" w:sz="4" w:space="0"/>
              <w:bottom w:val="nil"/>
              <w:right w:val="single" w:color="000000" w:sz="4" w:space="0"/>
            </w:tcBorders>
            <w:shd w:val="clear" w:color="auto" w:fill="auto"/>
            <w:noWrap/>
            <w:vAlign w:val="center"/>
          </w:tcPr>
          <w:p w14:paraId="3B17C10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56A9EBB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auto" w:sz="4" w:space="0"/>
              <w:left w:val="single" w:color="000000" w:sz="4" w:space="0"/>
              <w:bottom w:val="nil"/>
              <w:right w:val="single" w:color="000000" w:sz="4" w:space="0"/>
            </w:tcBorders>
            <w:shd w:val="clear" w:color="auto" w:fill="FFFFFF"/>
            <w:vAlign w:val="center"/>
          </w:tcPr>
          <w:p w14:paraId="5092F7C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32B7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061A9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128</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B1D87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6491C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E1B16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书院六村24幢西侧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B9C4D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4853089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52CFA9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6735063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3BAB01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4F2C7FD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75D8C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3B4330C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3E3F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91476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129</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F0EAD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A1705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9A1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书院六村32幢北侧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AD9A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702DC96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0C27F6D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686FC8A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6280A9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21D9A2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73A04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0C8AEC9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89C3E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44330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130</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0BE97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合兴社区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C8661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76637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书院六村11幢东侧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37CE3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7296116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0ECE17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683507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1729D8E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35AAEB6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9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47936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652D730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EED57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0758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131</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7C537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942E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5BC1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书院二村13幢南侧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8444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1C381A1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6B4657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4A8116B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0393AD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0045EE8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3FA3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2224E4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81A0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2AE18F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132</w:t>
            </w:r>
          </w:p>
        </w:tc>
        <w:tc>
          <w:tcPr>
            <w:tcW w:w="1271" w:type="dxa"/>
            <w:tcBorders>
              <w:top w:val="single" w:color="000000" w:sz="4" w:space="0"/>
              <w:left w:val="single" w:color="000000" w:sz="4" w:space="0"/>
              <w:bottom w:val="single" w:color="auto" w:sz="4" w:space="0"/>
              <w:right w:val="single" w:color="000000" w:sz="4" w:space="0"/>
            </w:tcBorders>
            <w:shd w:val="clear" w:color="auto" w:fill="FFFFFF"/>
            <w:vAlign w:val="center"/>
          </w:tcPr>
          <w:p w14:paraId="7F8F362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auto" w:sz="4" w:space="0"/>
              <w:right w:val="single" w:color="000000" w:sz="4" w:space="0"/>
            </w:tcBorders>
            <w:shd w:val="clear" w:color="auto" w:fill="auto"/>
            <w:vAlign w:val="center"/>
          </w:tcPr>
          <w:p w14:paraId="1A66C3F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书院二村</w:t>
            </w:r>
          </w:p>
        </w:tc>
        <w:tc>
          <w:tcPr>
            <w:tcW w:w="2114" w:type="dxa"/>
            <w:tcBorders>
              <w:top w:val="single" w:color="000000" w:sz="4" w:space="0"/>
              <w:left w:val="single" w:color="000000" w:sz="4" w:space="0"/>
              <w:bottom w:val="single" w:color="auto" w:sz="4" w:space="0"/>
              <w:right w:val="single" w:color="000000" w:sz="4" w:space="0"/>
            </w:tcBorders>
            <w:shd w:val="clear" w:color="auto" w:fill="auto"/>
            <w:vAlign w:val="center"/>
          </w:tcPr>
          <w:p w14:paraId="6DFA08F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书院二村14幢北侧</w:t>
            </w:r>
          </w:p>
        </w:tc>
        <w:tc>
          <w:tcPr>
            <w:tcW w:w="572" w:type="dxa"/>
            <w:tcBorders>
              <w:top w:val="single" w:color="000000" w:sz="4" w:space="0"/>
              <w:left w:val="single" w:color="000000" w:sz="4" w:space="0"/>
              <w:bottom w:val="single" w:color="auto" w:sz="4" w:space="0"/>
              <w:right w:val="single" w:color="000000" w:sz="4" w:space="0"/>
            </w:tcBorders>
            <w:shd w:val="clear" w:color="auto" w:fill="auto"/>
            <w:vAlign w:val="center"/>
          </w:tcPr>
          <w:p w14:paraId="26BF397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4239EC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BDE35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D7D80E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AED26B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DCECCF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auto" w:sz="4" w:space="0"/>
              <w:right w:val="single" w:color="000000" w:sz="4" w:space="0"/>
            </w:tcBorders>
            <w:shd w:val="clear" w:color="auto" w:fill="auto"/>
            <w:vAlign w:val="center"/>
          </w:tcPr>
          <w:p w14:paraId="70DDEC9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auto" w:sz="4" w:space="0"/>
              <w:right w:val="single" w:color="000000" w:sz="4" w:space="0"/>
            </w:tcBorders>
            <w:shd w:val="clear" w:color="auto" w:fill="FFFFFF"/>
            <w:vAlign w:val="center"/>
          </w:tcPr>
          <w:p w14:paraId="41E92D2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7DFE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auto" w:sz="4" w:space="0"/>
              <w:left w:val="single" w:color="auto" w:sz="4" w:space="0"/>
              <w:bottom w:val="single" w:color="000000" w:sz="4" w:space="0"/>
              <w:right w:val="single" w:color="000000" w:sz="4" w:space="0"/>
            </w:tcBorders>
            <w:shd w:val="clear" w:color="auto" w:fill="FFFFFF"/>
            <w:noWrap/>
            <w:vAlign w:val="center"/>
          </w:tcPr>
          <w:p w14:paraId="362BAD6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133</w:t>
            </w:r>
          </w:p>
        </w:tc>
        <w:tc>
          <w:tcPr>
            <w:tcW w:w="1271" w:type="dxa"/>
            <w:tcBorders>
              <w:top w:val="single" w:color="auto" w:sz="4" w:space="0"/>
              <w:left w:val="single" w:color="000000" w:sz="4" w:space="0"/>
              <w:bottom w:val="single" w:color="000000" w:sz="4" w:space="0"/>
              <w:right w:val="single" w:color="000000" w:sz="4" w:space="0"/>
            </w:tcBorders>
            <w:shd w:val="clear" w:color="auto" w:fill="FFFFFF"/>
            <w:vAlign w:val="center"/>
          </w:tcPr>
          <w:p w14:paraId="0CD769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2893EDA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书院二村</w:t>
            </w:r>
          </w:p>
        </w:tc>
        <w:tc>
          <w:tcPr>
            <w:tcW w:w="2114" w:type="dxa"/>
            <w:tcBorders>
              <w:top w:val="single" w:color="auto" w:sz="4" w:space="0"/>
              <w:left w:val="single" w:color="000000" w:sz="4" w:space="0"/>
              <w:bottom w:val="single" w:color="auto" w:sz="4" w:space="0"/>
              <w:right w:val="single" w:color="000000" w:sz="4" w:space="0"/>
            </w:tcBorders>
            <w:shd w:val="clear" w:color="auto" w:fill="FFFFFF"/>
            <w:noWrap/>
            <w:vAlign w:val="center"/>
          </w:tcPr>
          <w:p w14:paraId="65ABC4B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书院二村28幢西侧</w:t>
            </w:r>
          </w:p>
        </w:tc>
        <w:tc>
          <w:tcPr>
            <w:tcW w:w="572" w:type="dxa"/>
            <w:tcBorders>
              <w:top w:val="single" w:color="auto" w:sz="4" w:space="0"/>
              <w:left w:val="single" w:color="000000" w:sz="4" w:space="0"/>
              <w:bottom w:val="single" w:color="auto" w:sz="4" w:space="0"/>
              <w:right w:val="single" w:color="000000" w:sz="4" w:space="0"/>
            </w:tcBorders>
            <w:shd w:val="clear" w:color="auto" w:fill="FFFFFF"/>
            <w:noWrap/>
            <w:vAlign w:val="center"/>
          </w:tcPr>
          <w:p w14:paraId="0325674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auto" w:sz="4" w:space="0"/>
              <w:left w:val="single" w:color="000000" w:sz="4" w:space="0"/>
              <w:bottom w:val="single" w:color="auto" w:sz="4" w:space="0"/>
              <w:right w:val="single" w:color="000000" w:sz="4" w:space="0"/>
            </w:tcBorders>
            <w:shd w:val="clear" w:color="auto" w:fill="FFFFFF"/>
            <w:noWrap/>
            <w:vAlign w:val="center"/>
          </w:tcPr>
          <w:p w14:paraId="0D24680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auto" w:sz="4" w:space="0"/>
              <w:left w:val="single" w:color="000000" w:sz="4" w:space="0"/>
              <w:bottom w:val="single" w:color="auto" w:sz="4" w:space="0"/>
              <w:right w:val="single" w:color="000000" w:sz="4" w:space="0"/>
            </w:tcBorders>
            <w:shd w:val="clear" w:color="auto" w:fill="FFFFFF"/>
            <w:noWrap/>
            <w:vAlign w:val="center"/>
          </w:tcPr>
          <w:p w14:paraId="1692BC5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7B10173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E3A255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5E18A4A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3C1F514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auto" w:sz="4" w:space="0"/>
              <w:left w:val="single" w:color="000000" w:sz="4" w:space="0"/>
              <w:bottom w:val="single" w:color="auto" w:sz="4" w:space="0"/>
              <w:right w:val="single" w:color="auto" w:sz="4" w:space="0"/>
            </w:tcBorders>
            <w:shd w:val="clear" w:color="auto" w:fill="FFFFFF"/>
            <w:vAlign w:val="center"/>
          </w:tcPr>
          <w:p w14:paraId="3BA7EA2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788B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auto" w:sz="4" w:space="0"/>
              <w:bottom w:val="single" w:color="000000" w:sz="4" w:space="0"/>
              <w:right w:val="single" w:color="000000" w:sz="4" w:space="0"/>
            </w:tcBorders>
            <w:shd w:val="clear" w:color="auto" w:fill="FFFFFF"/>
            <w:noWrap/>
            <w:vAlign w:val="center"/>
          </w:tcPr>
          <w:p w14:paraId="7EB18BC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134</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6360B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4DDBD7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w:t>
            </w:r>
          </w:p>
        </w:tc>
        <w:tc>
          <w:tcPr>
            <w:tcW w:w="21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A14B02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书院五村10幢西侧</w:t>
            </w:r>
          </w:p>
        </w:tc>
        <w:tc>
          <w:tcPr>
            <w:tcW w:w="57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60E8B1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30D075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6D35525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3782ADD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098D3A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10862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2E0E1E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auto" w:sz="4" w:space="0"/>
              <w:left w:val="single" w:color="auto" w:sz="4" w:space="0"/>
              <w:bottom w:val="single" w:color="auto" w:sz="4" w:space="0"/>
              <w:right w:val="single" w:color="auto" w:sz="4" w:space="0"/>
            </w:tcBorders>
            <w:shd w:val="clear" w:color="auto" w:fill="FFFFFF"/>
            <w:vAlign w:val="center"/>
          </w:tcPr>
          <w:p w14:paraId="5FC9D5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C164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auto" w:sz="4" w:space="0"/>
              <w:bottom w:val="single" w:color="000000" w:sz="4" w:space="0"/>
              <w:right w:val="single" w:color="000000" w:sz="4" w:space="0"/>
            </w:tcBorders>
            <w:shd w:val="clear" w:color="auto" w:fill="FFFFFF"/>
            <w:noWrap/>
            <w:vAlign w:val="center"/>
          </w:tcPr>
          <w:p w14:paraId="3D4CFF0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135</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87DBA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09E3505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w:t>
            </w:r>
          </w:p>
        </w:tc>
        <w:tc>
          <w:tcPr>
            <w:tcW w:w="21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52FE77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书院五村17幢西侧</w:t>
            </w:r>
          </w:p>
        </w:tc>
        <w:tc>
          <w:tcPr>
            <w:tcW w:w="57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341B37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CC5E1D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348FE7C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BC8145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F7FD5A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6CF885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9B09E2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auto" w:sz="4" w:space="0"/>
              <w:left w:val="single" w:color="auto" w:sz="4" w:space="0"/>
              <w:bottom w:val="single" w:color="auto" w:sz="4" w:space="0"/>
              <w:right w:val="single" w:color="auto" w:sz="4" w:space="0"/>
            </w:tcBorders>
            <w:shd w:val="clear" w:color="auto" w:fill="FFFFFF"/>
            <w:vAlign w:val="center"/>
          </w:tcPr>
          <w:p w14:paraId="6D7850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CD420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auto" w:sz="4" w:space="0"/>
              <w:bottom w:val="single" w:color="auto" w:sz="4" w:space="0"/>
              <w:right w:val="single" w:color="000000" w:sz="4" w:space="0"/>
            </w:tcBorders>
            <w:shd w:val="clear" w:color="auto" w:fill="FFFFFF"/>
            <w:noWrap/>
            <w:vAlign w:val="center"/>
          </w:tcPr>
          <w:p w14:paraId="08508ED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136</w:t>
            </w:r>
          </w:p>
        </w:tc>
        <w:tc>
          <w:tcPr>
            <w:tcW w:w="1271" w:type="dxa"/>
            <w:tcBorders>
              <w:top w:val="single" w:color="000000" w:sz="4" w:space="0"/>
              <w:left w:val="single" w:color="000000" w:sz="4" w:space="0"/>
              <w:bottom w:val="single" w:color="auto" w:sz="4" w:space="0"/>
              <w:right w:val="single" w:color="000000" w:sz="4" w:space="0"/>
            </w:tcBorders>
            <w:shd w:val="clear" w:color="auto" w:fill="FFFFFF"/>
            <w:vAlign w:val="center"/>
          </w:tcPr>
          <w:p w14:paraId="036BFDA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413084E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w:t>
            </w:r>
          </w:p>
        </w:tc>
        <w:tc>
          <w:tcPr>
            <w:tcW w:w="2114" w:type="dxa"/>
            <w:tcBorders>
              <w:top w:val="single" w:color="auto" w:sz="4" w:space="0"/>
              <w:left w:val="single" w:color="000000" w:sz="4" w:space="0"/>
              <w:bottom w:val="single" w:color="auto" w:sz="4" w:space="0"/>
              <w:right w:val="single" w:color="000000" w:sz="4" w:space="0"/>
            </w:tcBorders>
            <w:shd w:val="clear" w:color="auto" w:fill="FFFFFF"/>
            <w:noWrap/>
            <w:vAlign w:val="center"/>
          </w:tcPr>
          <w:p w14:paraId="3456E27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书院五村18幢东侧</w:t>
            </w:r>
          </w:p>
        </w:tc>
        <w:tc>
          <w:tcPr>
            <w:tcW w:w="572" w:type="dxa"/>
            <w:tcBorders>
              <w:top w:val="single" w:color="auto" w:sz="4" w:space="0"/>
              <w:left w:val="single" w:color="000000" w:sz="4" w:space="0"/>
              <w:bottom w:val="single" w:color="auto" w:sz="4" w:space="0"/>
              <w:right w:val="single" w:color="000000" w:sz="4" w:space="0"/>
            </w:tcBorders>
            <w:shd w:val="clear" w:color="auto" w:fill="FFFFFF"/>
            <w:noWrap/>
            <w:vAlign w:val="center"/>
          </w:tcPr>
          <w:p w14:paraId="37B0162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8C4CE7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w:t>
            </w:r>
          </w:p>
        </w:tc>
        <w:tc>
          <w:tcPr>
            <w:tcW w:w="743"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985DC7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0DEB858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2EA250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7B38DED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7AAC625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auto" w:sz="4" w:space="0"/>
              <w:left w:val="single" w:color="000000" w:sz="4" w:space="0"/>
              <w:bottom w:val="single" w:color="auto" w:sz="4" w:space="0"/>
              <w:right w:val="single" w:color="auto" w:sz="4" w:space="0"/>
            </w:tcBorders>
            <w:shd w:val="clear" w:color="auto" w:fill="FFFFFF"/>
            <w:vAlign w:val="center"/>
          </w:tcPr>
          <w:p w14:paraId="27DA564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1D40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179C1AF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137</w:t>
            </w:r>
          </w:p>
        </w:tc>
        <w:tc>
          <w:tcPr>
            <w:tcW w:w="1271" w:type="dxa"/>
            <w:tcBorders>
              <w:top w:val="single" w:color="auto" w:sz="4" w:space="0"/>
              <w:left w:val="single" w:color="000000" w:sz="4" w:space="0"/>
              <w:bottom w:val="single" w:color="000000" w:sz="4" w:space="0"/>
              <w:right w:val="single" w:color="000000" w:sz="4" w:space="0"/>
            </w:tcBorders>
            <w:shd w:val="clear" w:color="auto" w:fill="FFFFFF"/>
            <w:vAlign w:val="center"/>
          </w:tcPr>
          <w:p w14:paraId="6E51126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7F4F556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w:t>
            </w:r>
          </w:p>
        </w:tc>
        <w:tc>
          <w:tcPr>
            <w:tcW w:w="2114"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243E455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书院五村25幢北侧</w:t>
            </w:r>
          </w:p>
        </w:tc>
        <w:tc>
          <w:tcPr>
            <w:tcW w:w="572"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32FA053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auto" w:sz="4" w:space="0"/>
              <w:left w:val="single" w:color="000000" w:sz="4" w:space="0"/>
              <w:bottom w:val="nil"/>
              <w:right w:val="single" w:color="000000" w:sz="4" w:space="0"/>
            </w:tcBorders>
            <w:shd w:val="clear" w:color="auto" w:fill="auto"/>
            <w:noWrap/>
            <w:vAlign w:val="center"/>
          </w:tcPr>
          <w:p w14:paraId="4A4804E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w:t>
            </w:r>
          </w:p>
        </w:tc>
        <w:tc>
          <w:tcPr>
            <w:tcW w:w="743" w:type="dxa"/>
            <w:tcBorders>
              <w:top w:val="single" w:color="auto" w:sz="4" w:space="0"/>
              <w:left w:val="single" w:color="000000" w:sz="4" w:space="0"/>
              <w:bottom w:val="nil"/>
              <w:right w:val="single" w:color="000000" w:sz="4" w:space="0"/>
            </w:tcBorders>
            <w:shd w:val="clear" w:color="auto" w:fill="auto"/>
            <w:noWrap/>
            <w:vAlign w:val="center"/>
          </w:tcPr>
          <w:p w14:paraId="2ACB3D5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auto" w:sz="4" w:space="0"/>
              <w:left w:val="single" w:color="000000" w:sz="4" w:space="0"/>
              <w:bottom w:val="nil"/>
              <w:right w:val="single" w:color="000000" w:sz="4" w:space="0"/>
            </w:tcBorders>
            <w:shd w:val="clear" w:color="auto" w:fill="auto"/>
            <w:noWrap/>
            <w:vAlign w:val="center"/>
          </w:tcPr>
          <w:p w14:paraId="55EB623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000000" w:sz="4" w:space="0"/>
              <w:bottom w:val="nil"/>
              <w:right w:val="single" w:color="000000" w:sz="4" w:space="0"/>
            </w:tcBorders>
            <w:shd w:val="clear" w:color="auto" w:fill="auto"/>
            <w:noWrap/>
            <w:vAlign w:val="center"/>
          </w:tcPr>
          <w:p w14:paraId="07274FE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auto" w:sz="4" w:space="0"/>
              <w:left w:val="single" w:color="000000" w:sz="4" w:space="0"/>
              <w:bottom w:val="nil"/>
              <w:right w:val="single" w:color="000000" w:sz="4" w:space="0"/>
            </w:tcBorders>
            <w:shd w:val="clear" w:color="auto" w:fill="auto"/>
            <w:noWrap/>
            <w:vAlign w:val="center"/>
          </w:tcPr>
          <w:p w14:paraId="70E337F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auto" w:sz="4" w:space="0"/>
              <w:left w:val="single" w:color="000000" w:sz="4" w:space="0"/>
              <w:bottom w:val="nil"/>
              <w:right w:val="single" w:color="000000" w:sz="4" w:space="0"/>
            </w:tcBorders>
            <w:shd w:val="clear" w:color="auto" w:fill="auto"/>
            <w:noWrap/>
            <w:vAlign w:val="center"/>
          </w:tcPr>
          <w:p w14:paraId="37641EB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auto" w:sz="4" w:space="0"/>
              <w:left w:val="single" w:color="000000" w:sz="4" w:space="0"/>
              <w:bottom w:val="nil"/>
              <w:right w:val="single" w:color="000000" w:sz="4" w:space="0"/>
            </w:tcBorders>
            <w:shd w:val="clear" w:color="auto" w:fill="FFFFFF"/>
            <w:vAlign w:val="center"/>
          </w:tcPr>
          <w:p w14:paraId="51C2EA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D9F9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3B3A7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138</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97F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C8831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37450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书院五村26幢东侧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E8BE7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74726C9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659A921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1C9F120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74451F0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1A26E5F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nil"/>
              <w:right w:val="single" w:color="000000" w:sz="4" w:space="0"/>
            </w:tcBorders>
            <w:shd w:val="clear" w:color="auto" w:fill="auto"/>
            <w:noWrap/>
            <w:vAlign w:val="center"/>
          </w:tcPr>
          <w:p w14:paraId="7073F5C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60D4E4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38B1B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B0AB6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139</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2DE3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9AE1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7E343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书院五村29幢北侧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ACFB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1EC928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24</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1BDF68F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3CA8022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505AB12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1EE5AAD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nil"/>
              <w:right w:val="single" w:color="000000" w:sz="4" w:space="0"/>
            </w:tcBorders>
            <w:shd w:val="clear" w:color="auto" w:fill="auto"/>
            <w:noWrap/>
            <w:vAlign w:val="center"/>
          </w:tcPr>
          <w:p w14:paraId="5D5BDBE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551C29C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02FA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A6761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140</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C6ECC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三兴社区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2881C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海沙新村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238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9幢北侧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6CD88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56186B9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14F8E71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6F539B0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338DFB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568FB13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nil"/>
              <w:right w:val="single" w:color="000000" w:sz="4" w:space="0"/>
            </w:tcBorders>
            <w:shd w:val="clear" w:color="auto" w:fill="auto"/>
            <w:noWrap/>
            <w:vAlign w:val="center"/>
          </w:tcPr>
          <w:p w14:paraId="059F8BE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0F46174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9DB4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6D4A0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141</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A6DC8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三兴社区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FC45C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海沙新村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1930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4幢南侧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3C690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2DE9732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786EEF3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2087B33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028F1F9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3ED3E53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nil"/>
              <w:right w:val="single" w:color="000000" w:sz="4" w:space="0"/>
            </w:tcBorders>
            <w:shd w:val="clear" w:color="auto" w:fill="auto"/>
            <w:noWrap/>
            <w:vAlign w:val="center"/>
          </w:tcPr>
          <w:p w14:paraId="1659868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0D3838B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598C0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CA334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142</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03C4F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三兴社区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FB73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海沙新村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6313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3幢南侧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0E9FA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720E429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1787E35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52E4F16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4B9BEE2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7D00B9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nil"/>
              <w:right w:val="single" w:color="000000" w:sz="4" w:space="0"/>
            </w:tcBorders>
            <w:shd w:val="clear" w:color="auto" w:fill="auto"/>
            <w:noWrap/>
            <w:vAlign w:val="center"/>
          </w:tcPr>
          <w:p w14:paraId="13709E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1863CBC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7EBA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4302A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143</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CBA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三兴社区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F139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海沙二村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8EBD9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13-14幢之间</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75CA6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502B1A5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5FABDC0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5FEC90A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076DB8B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098810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nil"/>
              <w:right w:val="single" w:color="000000" w:sz="4" w:space="0"/>
            </w:tcBorders>
            <w:shd w:val="clear" w:color="auto" w:fill="auto"/>
            <w:noWrap/>
            <w:vAlign w:val="center"/>
          </w:tcPr>
          <w:p w14:paraId="5B42DC9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48E88BF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D6CD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8ADE0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144</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FA6D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2268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5177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13幢后侧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79941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7050512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5762F5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11B8597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13E0FCB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030D930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nil"/>
              <w:right w:val="single" w:color="000000" w:sz="4" w:space="0"/>
            </w:tcBorders>
            <w:shd w:val="clear" w:color="auto" w:fill="auto"/>
            <w:noWrap/>
            <w:vAlign w:val="center"/>
          </w:tcPr>
          <w:p w14:paraId="71B81DB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105BA60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6B93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49FF7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145</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CB0BF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AD93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8550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16幢后侧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6F9D9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2C7732E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16361B6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40B0A2A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4502E7E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20F060C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nil"/>
              <w:right w:val="single" w:color="000000" w:sz="4" w:space="0"/>
            </w:tcBorders>
            <w:shd w:val="clear" w:color="auto" w:fill="auto"/>
            <w:noWrap/>
            <w:vAlign w:val="center"/>
          </w:tcPr>
          <w:p w14:paraId="241122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0E8555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8B581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9EA9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146</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6CB1C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AF4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D81D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20幢后侧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F4C70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45012ED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4E16B70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4E90B09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65DFC02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598E2C1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nil"/>
              <w:right w:val="single" w:color="000000" w:sz="4" w:space="0"/>
            </w:tcBorders>
            <w:shd w:val="clear" w:color="auto" w:fill="auto"/>
            <w:noWrap/>
            <w:vAlign w:val="center"/>
          </w:tcPr>
          <w:p w14:paraId="471DA3D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2E4610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6FC5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77ABB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147</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4F411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945A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3A6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22幢后侧</w:t>
            </w:r>
          </w:p>
        </w:tc>
        <w:tc>
          <w:tcPr>
            <w:tcW w:w="572"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7E2D565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7F3A97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3FD210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00F657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6A4A3BF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A48CFB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341B6C3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auto" w:sz="4" w:space="0"/>
              <w:right w:val="single" w:color="000000" w:sz="4" w:space="0"/>
            </w:tcBorders>
            <w:shd w:val="clear" w:color="auto" w:fill="FFFFFF"/>
            <w:vAlign w:val="center"/>
          </w:tcPr>
          <w:p w14:paraId="2A8BADC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BA8F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75224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148</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7F29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7B92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000000" w:sz="4" w:space="0"/>
              <w:left w:val="single" w:color="000000" w:sz="4" w:space="0"/>
              <w:bottom w:val="single" w:color="000000" w:sz="4" w:space="0"/>
              <w:right w:val="single" w:color="auto" w:sz="4" w:space="0"/>
            </w:tcBorders>
            <w:shd w:val="clear" w:color="auto" w:fill="auto"/>
            <w:vAlign w:val="center"/>
          </w:tcPr>
          <w:p w14:paraId="6B7BEC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2幢后侧</w:t>
            </w:r>
          </w:p>
        </w:tc>
        <w:tc>
          <w:tcPr>
            <w:tcW w:w="57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7280E3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E36C9F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B90B0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B1B3B3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098A24F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2D670F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6B3A97E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auto" w:sz="4" w:space="0"/>
              <w:left w:val="single" w:color="auto" w:sz="4" w:space="0"/>
              <w:bottom w:val="single" w:color="auto" w:sz="4" w:space="0"/>
              <w:right w:val="single" w:color="auto" w:sz="4" w:space="0"/>
            </w:tcBorders>
            <w:shd w:val="clear" w:color="auto" w:fill="FFFFFF"/>
            <w:vAlign w:val="center"/>
          </w:tcPr>
          <w:p w14:paraId="6BE571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628A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90EA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149</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D9A65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7C62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BAD0F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6幢后侧</w:t>
            </w:r>
          </w:p>
        </w:tc>
        <w:tc>
          <w:tcPr>
            <w:tcW w:w="572" w:type="dxa"/>
            <w:tcBorders>
              <w:top w:val="single" w:color="auto" w:sz="4" w:space="0"/>
              <w:left w:val="single" w:color="000000" w:sz="4" w:space="0"/>
              <w:bottom w:val="single" w:color="000000" w:sz="4" w:space="0"/>
              <w:right w:val="single" w:color="000000" w:sz="4" w:space="0"/>
            </w:tcBorders>
            <w:shd w:val="clear" w:color="auto" w:fill="FFFFFF"/>
            <w:noWrap/>
            <w:vAlign w:val="center"/>
          </w:tcPr>
          <w:p w14:paraId="5D4586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auto" w:sz="4" w:space="0"/>
              <w:left w:val="single" w:color="000000" w:sz="4" w:space="0"/>
              <w:bottom w:val="nil"/>
              <w:right w:val="single" w:color="000000" w:sz="4" w:space="0"/>
            </w:tcBorders>
            <w:shd w:val="clear" w:color="auto" w:fill="auto"/>
            <w:noWrap/>
            <w:vAlign w:val="center"/>
          </w:tcPr>
          <w:p w14:paraId="3A0388F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auto" w:sz="4" w:space="0"/>
              <w:left w:val="single" w:color="000000" w:sz="4" w:space="0"/>
              <w:bottom w:val="nil"/>
              <w:right w:val="single" w:color="000000" w:sz="4" w:space="0"/>
            </w:tcBorders>
            <w:shd w:val="clear" w:color="auto" w:fill="auto"/>
            <w:noWrap/>
            <w:vAlign w:val="center"/>
          </w:tcPr>
          <w:p w14:paraId="6D87CBA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auto" w:sz="4" w:space="0"/>
              <w:left w:val="single" w:color="000000" w:sz="4" w:space="0"/>
              <w:bottom w:val="nil"/>
              <w:right w:val="single" w:color="000000" w:sz="4" w:space="0"/>
            </w:tcBorders>
            <w:shd w:val="clear" w:color="auto" w:fill="auto"/>
            <w:noWrap/>
            <w:vAlign w:val="center"/>
          </w:tcPr>
          <w:p w14:paraId="3E6A682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000000" w:sz="4" w:space="0"/>
              <w:bottom w:val="nil"/>
              <w:right w:val="single" w:color="000000" w:sz="4" w:space="0"/>
            </w:tcBorders>
            <w:shd w:val="clear" w:color="auto" w:fill="auto"/>
            <w:noWrap/>
            <w:vAlign w:val="center"/>
          </w:tcPr>
          <w:p w14:paraId="13FB62E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auto" w:sz="4" w:space="0"/>
              <w:left w:val="single" w:color="000000" w:sz="4" w:space="0"/>
              <w:bottom w:val="nil"/>
              <w:right w:val="single" w:color="000000" w:sz="4" w:space="0"/>
            </w:tcBorders>
            <w:shd w:val="clear" w:color="auto" w:fill="auto"/>
            <w:noWrap/>
            <w:vAlign w:val="center"/>
          </w:tcPr>
          <w:p w14:paraId="14C1286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auto" w:sz="4" w:space="0"/>
              <w:left w:val="single" w:color="000000" w:sz="4" w:space="0"/>
              <w:bottom w:val="nil"/>
              <w:right w:val="single" w:color="000000" w:sz="4" w:space="0"/>
            </w:tcBorders>
            <w:shd w:val="clear" w:color="auto" w:fill="auto"/>
            <w:noWrap/>
            <w:vAlign w:val="center"/>
          </w:tcPr>
          <w:p w14:paraId="5D44983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auto" w:sz="4" w:space="0"/>
              <w:left w:val="single" w:color="000000" w:sz="4" w:space="0"/>
              <w:bottom w:val="nil"/>
              <w:right w:val="single" w:color="000000" w:sz="4" w:space="0"/>
            </w:tcBorders>
            <w:shd w:val="clear" w:color="auto" w:fill="FFFFFF"/>
            <w:vAlign w:val="center"/>
          </w:tcPr>
          <w:p w14:paraId="6EA2C1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5909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0A5D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150</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D3D16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6DED7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91FCF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14幢后侧</w:t>
            </w:r>
          </w:p>
        </w:tc>
        <w:tc>
          <w:tcPr>
            <w:tcW w:w="57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9B514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7A86CD1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nil"/>
              <w:right w:val="single" w:color="000000" w:sz="4" w:space="0"/>
            </w:tcBorders>
            <w:shd w:val="clear" w:color="auto" w:fill="auto"/>
            <w:noWrap/>
            <w:vAlign w:val="center"/>
          </w:tcPr>
          <w:p w14:paraId="1757D42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5944C7E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nil"/>
              <w:right w:val="single" w:color="000000" w:sz="4" w:space="0"/>
            </w:tcBorders>
            <w:shd w:val="clear" w:color="auto" w:fill="auto"/>
            <w:noWrap/>
            <w:vAlign w:val="center"/>
          </w:tcPr>
          <w:p w14:paraId="4BD986C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nil"/>
              <w:right w:val="single" w:color="000000" w:sz="4" w:space="0"/>
            </w:tcBorders>
            <w:shd w:val="clear" w:color="auto" w:fill="auto"/>
            <w:noWrap/>
            <w:vAlign w:val="center"/>
          </w:tcPr>
          <w:p w14:paraId="5CD08B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nil"/>
              <w:right w:val="single" w:color="000000" w:sz="4" w:space="0"/>
            </w:tcBorders>
            <w:shd w:val="clear" w:color="auto" w:fill="auto"/>
            <w:noWrap/>
            <w:vAlign w:val="center"/>
          </w:tcPr>
          <w:p w14:paraId="57F2449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nil"/>
              <w:right w:val="single" w:color="000000" w:sz="4" w:space="0"/>
            </w:tcBorders>
            <w:shd w:val="clear" w:color="auto" w:fill="FFFFFF"/>
            <w:vAlign w:val="center"/>
          </w:tcPr>
          <w:p w14:paraId="779191A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0158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33D3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151</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9AB27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AD6A3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57CA86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15幢后侧</w:t>
            </w:r>
          </w:p>
        </w:tc>
        <w:tc>
          <w:tcPr>
            <w:tcW w:w="572" w:type="dxa"/>
            <w:tcBorders>
              <w:top w:val="single" w:color="000000" w:sz="4" w:space="0"/>
              <w:left w:val="single" w:color="000000" w:sz="4" w:space="0"/>
              <w:bottom w:val="single" w:color="auto" w:sz="4" w:space="0"/>
              <w:right w:val="single" w:color="000000" w:sz="4" w:space="0"/>
            </w:tcBorders>
            <w:shd w:val="clear" w:color="auto" w:fill="FFFFFF"/>
            <w:noWrap/>
            <w:vAlign w:val="center"/>
          </w:tcPr>
          <w:p w14:paraId="318D74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60E01B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15441F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4BC17A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877F1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18AB72B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090DAF6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auto" w:sz="4" w:space="0"/>
              <w:right w:val="single" w:color="000000" w:sz="4" w:space="0"/>
            </w:tcBorders>
            <w:shd w:val="clear" w:color="auto" w:fill="FFFFFF"/>
            <w:vAlign w:val="center"/>
          </w:tcPr>
          <w:p w14:paraId="68663D7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EB71B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7171B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152</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EDB1F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auto" w:sz="4" w:space="0"/>
            </w:tcBorders>
            <w:shd w:val="clear" w:color="auto" w:fill="FFFFFF"/>
            <w:noWrap/>
            <w:vAlign w:val="center"/>
          </w:tcPr>
          <w:p w14:paraId="29DBB7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26280BE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17幢后侧</w:t>
            </w:r>
          </w:p>
        </w:tc>
        <w:tc>
          <w:tcPr>
            <w:tcW w:w="572"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1D754A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F2B8A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D864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F0106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2E5ECF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85E8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6CD695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auto" w:sz="4" w:space="0"/>
              <w:left w:val="single" w:color="auto" w:sz="4" w:space="0"/>
              <w:bottom w:val="single" w:color="auto" w:sz="4" w:space="0"/>
              <w:right w:val="single" w:color="auto" w:sz="4" w:space="0"/>
            </w:tcBorders>
            <w:shd w:val="clear" w:color="auto" w:fill="FFFFFF"/>
            <w:vAlign w:val="center"/>
          </w:tcPr>
          <w:p w14:paraId="70DF37B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93C8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183FE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153</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CC2BA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2BB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auto" w:sz="4" w:space="0"/>
              <w:left w:val="single" w:color="000000" w:sz="4" w:space="0"/>
              <w:bottom w:val="single" w:color="000000" w:sz="4" w:space="0"/>
              <w:right w:val="single" w:color="000000" w:sz="4" w:space="0"/>
            </w:tcBorders>
            <w:shd w:val="clear" w:color="auto" w:fill="auto"/>
            <w:vAlign w:val="center"/>
          </w:tcPr>
          <w:p w14:paraId="1EAF526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18幢后侧</w:t>
            </w:r>
          </w:p>
        </w:tc>
        <w:tc>
          <w:tcPr>
            <w:tcW w:w="572"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29FF442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auto" w:sz="4" w:space="0"/>
              <w:left w:val="single" w:color="000000" w:sz="4" w:space="0"/>
              <w:bottom w:val="single" w:color="000000" w:sz="4" w:space="0"/>
              <w:right w:val="single" w:color="000000" w:sz="4" w:space="0"/>
            </w:tcBorders>
            <w:shd w:val="clear" w:color="auto" w:fill="auto"/>
            <w:vAlign w:val="center"/>
          </w:tcPr>
          <w:p w14:paraId="782FBD7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auto" w:sz="4" w:space="0"/>
              <w:left w:val="single" w:color="000000" w:sz="4" w:space="0"/>
              <w:bottom w:val="single" w:color="000000" w:sz="4" w:space="0"/>
              <w:right w:val="single" w:color="000000" w:sz="4" w:space="0"/>
            </w:tcBorders>
            <w:shd w:val="clear" w:color="auto" w:fill="auto"/>
            <w:vAlign w:val="center"/>
          </w:tcPr>
          <w:p w14:paraId="3A778EC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0492B12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79746D6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4A0FEF9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6EA8E2C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auto" w:sz="4" w:space="0"/>
              <w:left w:val="single" w:color="000000" w:sz="4" w:space="0"/>
              <w:bottom w:val="single" w:color="000000" w:sz="4" w:space="0"/>
              <w:right w:val="single" w:color="000000" w:sz="4" w:space="0"/>
            </w:tcBorders>
            <w:shd w:val="clear" w:color="auto" w:fill="auto"/>
            <w:noWrap/>
            <w:vAlign w:val="center"/>
          </w:tcPr>
          <w:p w14:paraId="1556B0A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842DF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0CDDB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154</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DE05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0EF3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3CB6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21幢后侧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C5B1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745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F0FE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8F37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024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5E0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5ACF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478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EF8B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A8F7C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155</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CD0C1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EC90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3CFA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1幢后侧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9EA5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1B21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BBD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BD8E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9607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3B8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01FD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6134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82E9E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FE37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156</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CA3A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1074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6305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4幢后侧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940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B2A4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FD63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7527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1FA02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636B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3C81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305D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93AEF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3FF7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157</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074D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1C57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和平苑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7D1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11幢后侧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D750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1D99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3D4F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F043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F14A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7490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F3A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1BB0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62E6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B53CC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158</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A041D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9F8D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2DBD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5幢1单元北侧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ECFF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4D2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BB51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9CBA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BB17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FBF8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15B8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781C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07C0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8C62D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159</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1223A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53CA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434B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12幢3单元北侧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2DDB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2279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155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688D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4D3A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676D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7693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E052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11A2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5EE86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160</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BFA3C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B309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0D4E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10幢3单元北侧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E6BA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668F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8556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5F71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F271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EED6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125A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7543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02BE6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BDD53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161</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F35A0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79C4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089D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7幢1单元北侧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5B2D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2099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3AEB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54D0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6CE0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AF7C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48FC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86056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4DC3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E3AE2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162</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F3B04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35AD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E08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6幢西侧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6B84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07EC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0B27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51DF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3FDD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1573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5FEE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650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FE82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4D6D3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163</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BA29B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5EA3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0831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6幢2单元北侧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53CD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67EB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7F63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E175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4BF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A510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F968C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8698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1CF5E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E498C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164</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CF91E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FB88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CCD3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21幢西侧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789A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CE66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ECC4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7FD8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96C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BBE9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F22C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338B8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BE484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431A7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165</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BE9BE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035B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916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4幢北侧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DF5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44FC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5813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CB0C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E930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1752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145F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7B8A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2296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6BCED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166</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C4D0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849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00AD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3幢北侧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86DD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7B5C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9DC1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7F0C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96B5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726F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4A0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79E4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2B7C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7AD73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167</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A6B9F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C628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西兴花苑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E8FC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6C28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E85B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0F1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A57E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4BC6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1F99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3FF3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B9A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CA26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2049C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168</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98136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65EF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锦苑新村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F189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FF0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130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9A9A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174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4E3E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0150E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F90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AFE5F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BBC26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772C4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169</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0FBA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C33D8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锦苑新村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1B04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E917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53F6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3C5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F396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C54D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8E8EB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13E5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70E0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2E768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B92E4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170</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CCE07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联兴村</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39B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锦苑新村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6CFD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A279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1039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BA26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518E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F1D3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7B10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0382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104B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6AF2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8EFBE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171</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4C562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悦来社区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E22A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悦来花苑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70A7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6幢东侧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2F0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7D34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1811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218F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577B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9612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7E4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00A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275C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5939F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172</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B9D57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悦来社区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602E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悦来花苑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6D0B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65幢北侧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AA7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281C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F89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1580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DE00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4552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6D0CA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42C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597E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CB1C9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173</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462A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805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新华新村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A6A5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5986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53E4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1F36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12A2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0DD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B023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B9DF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564E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6C849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95094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174</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EA17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682C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新华新村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07D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668A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651C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F1BA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E460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383C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3E63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4383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42E7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C200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763FB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175</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99055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2AB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新华新村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B200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462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2757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72AA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45A38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3BF26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9681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CE0D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78FA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544F1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13DBE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176</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26E5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9FCA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新华新村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D0B8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F4A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F88D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C4D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CC4D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1B74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197E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0BF7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9759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D14A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36282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177</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35357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E009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新华新村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F766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3DC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01ED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64AC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F92C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5B06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5DBE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DD2C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2AF6A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25C0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F0694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178</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6823B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7501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新华新村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6C32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E58D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A19D2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2FD8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CAB7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2454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FFBF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9D0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64D3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C962C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90E62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179</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163DA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3B0D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新华新村</w:t>
            </w:r>
          </w:p>
        </w:tc>
        <w:tc>
          <w:tcPr>
            <w:tcW w:w="21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32B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3FEC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A597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832B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BF36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2EF7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42EA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FF0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A5FD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BA8D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A2CE1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180</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2558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0AC64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新华新村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82DD2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4F45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BC7C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465E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8AD1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C3D4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53AD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4A58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9AC9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76D89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E76CD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181</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08E04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D64A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新华新村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54D77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03B4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0E3D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5DCB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CBD0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EC58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F13C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0E85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CE20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B94C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75C0B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182</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869C8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5A4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新华新村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AF674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28幢旁边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0F4B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A1AA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E065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2699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02F2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D0BF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5A9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78B6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80C3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5A36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183</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A8C50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10274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西兴花苑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946BF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2882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EAAC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8974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1038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150F3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AB71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431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F83F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5A7E2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E8226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184</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3950F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联兴村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C9341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西兴花苑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1EA44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94700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8D61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ACB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2184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365A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F07D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2EA4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0502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50C63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2203B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185</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AC67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镇北社区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08720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新华新村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1262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ACF1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7C68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DC3C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C18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50DC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6A22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394D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9D56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6182D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44BF1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186</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8A109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85D7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书院二村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4C957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A74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F200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155A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653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43A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993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9BD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1E98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8846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CEED8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187</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FC96A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B66F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书院二村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B44F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E66F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6F63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7CE1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2B76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A739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582D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8C30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CA51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12BF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186F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188</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3AECF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F195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书院二村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3AA38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29幢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69E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3E20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690A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ADFA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3FFB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B729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36F73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800E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354B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735E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189</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97ADD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EBA36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聚兴苑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5252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8DF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C42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2020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FE3A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1BDD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9EBB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DC38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352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72D5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33A1E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190</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BD052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D9892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聚兴苑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B47CB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1BD8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698C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22F0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BE69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9A2C0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22596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A505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54AD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DF1C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84611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191</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03350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E1C3F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聚兴苑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9FE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7E4C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AC60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4B83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E54A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1BFA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6E3F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F817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8ABE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31032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799DC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192</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7E248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F491E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聚兴苑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72508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14幢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E1AFF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F0A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3D29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CD19D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02D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726E3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033CE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6F48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9F9B7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70DBE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193</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6BF3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滨江社区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C64A1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聚兴苑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69C9F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38幢</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D6BC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C1C2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BEC2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C1ECE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5FE47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B174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EF94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31D4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74F3C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5922C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194</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29AB5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CF7C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0B90A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5幢3单元</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07DE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5ADA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63E7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2628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5A4D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3B1C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A9D5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69A1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092B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66CC8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195</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3ED88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十一圩港村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D3B6A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沙钢厚生新村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2604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围墙边</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268F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6E63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6086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607B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2E0B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6</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D836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53B9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FE3A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FCFC0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81FFC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196</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0BC15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2AC49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FDE11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9幢西侧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35F4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EC57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73F7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1F2C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0F01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3BBE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D73DF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9F75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F13C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14E07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197</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9993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8748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CDB44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19幢西侧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D7B7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7E6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3900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E276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FD81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CB48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5EE0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50A4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8E104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86159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198</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5D7CD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074D7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CDBD3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22幢西侧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348F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D706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C14A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802E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D94F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8F96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3B4F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28EE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5EC8A4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DCA82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199</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14CE6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福利村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3D217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悦兴花苑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F1F2D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办公楼北侧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CE93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214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00FF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AB1B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88E8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A56A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2BCC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F3BF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1B24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00F89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200</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345BD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洪福村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3E572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悦来六村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41AD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社区南侧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2EDC8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A5FC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76D7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284E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3AFA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1912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7EE1C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BC82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107BE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54D42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201</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C32F7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洪福村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79916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悦来五村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4710C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南门卫</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5D30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FB9C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496D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4FB4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670A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F1D1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70DF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EB717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0D21D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0F6CE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202</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4A70C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洪福村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4A4B8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大南六村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E715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20幢北侧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1003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AD1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29F5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BB03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849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FA17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7FFE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00FC5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C79D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8150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203</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B573C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洪福村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39C4E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大南六村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C5566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24幢北侧</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A987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20F1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B39E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E0A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355B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1FAE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9B72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B503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6AA2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395A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204</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8206E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三兴社区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F7EA6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镇南新村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B13A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公益坊旁</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09B9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AB04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119</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1806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7EFE9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9B88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56F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5376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7A87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CCC5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2F4C5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205</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36BCC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三兴社区</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52FA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镇南新村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6F71F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南围墙</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050F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418A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105</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D049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8</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EF3C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28F8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9C13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4</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CCC2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8A9EF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BA50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D361A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206</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696F32">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十一圩港村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356A2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厚生新村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D5CD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5幢东</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9278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EBD24">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4965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25C09">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A9EC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2D24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0B44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58A6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48BB65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19EB6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207</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5572E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十一圩港村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8C81A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厚生二村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AEB23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邻里坊南</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0EAA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77AC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0AF7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0B5FF">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821D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65D9C">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49049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4F95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2CC760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63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8CF571">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208</w:t>
            </w:r>
          </w:p>
        </w:tc>
        <w:tc>
          <w:tcPr>
            <w:tcW w:w="127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C5A23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十一圩港村</w:t>
            </w:r>
          </w:p>
        </w:tc>
        <w:tc>
          <w:tcPr>
            <w:tcW w:w="1549"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E70F88">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厚生二村</w:t>
            </w:r>
          </w:p>
        </w:tc>
        <w:tc>
          <w:tcPr>
            <w:tcW w:w="211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EF4C5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7幢西</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0ED2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886D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20</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886F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4EC0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3DCA0">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CADD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5BE2A">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default" w:ascii="仿宋_GB2312" w:hAnsi="宋体" w:eastAsia="仿宋_GB2312" w:cs="仿宋_GB2312"/>
                <w:i w:val="0"/>
                <w:iCs w:val="0"/>
                <w:color w:val="000000"/>
                <w:kern w:val="0"/>
                <w:sz w:val="21"/>
                <w:szCs w:val="21"/>
                <w:u w:val="none"/>
                <w:lang w:val="en-US" w:eastAsia="zh-CN" w:bidi="ar"/>
              </w:rPr>
              <w:t>1</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4C6AE">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r w14:paraId="625DB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0" w:hRule="atLeast"/>
          <w:jc w:val="center"/>
        </w:trPr>
        <w:tc>
          <w:tcPr>
            <w:tcW w:w="5567" w:type="dxa"/>
            <w:gridSpan w:val="4"/>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FE049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合计</w:t>
            </w:r>
          </w:p>
        </w:tc>
        <w:tc>
          <w:tcPr>
            <w:tcW w:w="5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30D1D">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184</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88D9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3098</w:t>
            </w:r>
          </w:p>
        </w:tc>
        <w:tc>
          <w:tcPr>
            <w:tcW w:w="7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B73C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524</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3195B">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38</w:t>
            </w:r>
          </w:p>
        </w:tc>
        <w:tc>
          <w:tcPr>
            <w:tcW w:w="79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C528E3">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64</w:t>
            </w:r>
          </w:p>
        </w:tc>
        <w:tc>
          <w:tcPr>
            <w:tcW w:w="68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7C176">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96</w:t>
            </w:r>
          </w:p>
        </w:tc>
        <w:tc>
          <w:tcPr>
            <w:tcW w:w="6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F70B5">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r>
              <w:rPr>
                <w:rFonts w:hint="eastAsia" w:ascii="仿宋_GB2312" w:hAnsi="宋体" w:eastAsia="仿宋_GB2312" w:cs="仿宋_GB2312"/>
                <w:i w:val="0"/>
                <w:iCs w:val="0"/>
                <w:color w:val="000000"/>
                <w:kern w:val="0"/>
                <w:sz w:val="21"/>
                <w:szCs w:val="21"/>
                <w:u w:val="none"/>
                <w:lang w:val="en-US" w:eastAsia="zh-CN" w:bidi="ar"/>
              </w:rPr>
              <w:t>188</w:t>
            </w:r>
          </w:p>
        </w:tc>
        <w:tc>
          <w:tcPr>
            <w:tcW w:w="71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EC6A7">
            <w:pPr>
              <w:keepNext w:val="0"/>
              <w:keepLines w:val="0"/>
              <w:widowControl/>
              <w:suppressLineNumbers w:val="0"/>
              <w:ind w:left="0" w:leftChars="0" w:firstLine="0" w:firstLineChars="0"/>
              <w:jc w:val="center"/>
              <w:textAlignment w:val="center"/>
              <w:rPr>
                <w:rFonts w:hint="default" w:ascii="仿宋_GB2312" w:hAnsi="宋体" w:eastAsia="仿宋_GB2312" w:cs="仿宋_GB2312"/>
                <w:i w:val="0"/>
                <w:iCs w:val="0"/>
                <w:color w:val="000000"/>
                <w:kern w:val="0"/>
                <w:sz w:val="21"/>
                <w:szCs w:val="21"/>
                <w:u w:val="none"/>
                <w:lang w:val="en-US" w:eastAsia="zh-CN" w:bidi="ar"/>
              </w:rPr>
            </w:pPr>
          </w:p>
        </w:tc>
      </w:tr>
    </w:tbl>
    <w:p w14:paraId="325B44ED">
      <w:pPr>
        <w:pStyle w:val="248"/>
        <w:spacing w:line="440" w:lineRule="exact"/>
        <w:rPr>
          <w:rFonts w:ascii="宋体" w:hAnsi="宋体" w:eastAsia="宋体" w:cs="宋体"/>
          <w:iCs/>
          <w:spacing w:val="7"/>
        </w:rPr>
      </w:pPr>
    </w:p>
    <w:p w14:paraId="4E8AAFA0">
      <w:pPr>
        <w:pStyle w:val="248"/>
        <w:spacing w:line="440" w:lineRule="exact"/>
        <w:rPr>
          <w:rFonts w:ascii="宋体" w:hAnsi="宋体" w:eastAsia="宋体" w:cs="宋体"/>
          <w:iCs/>
          <w:spacing w:val="7"/>
        </w:rPr>
      </w:pPr>
    </w:p>
    <w:p w14:paraId="4D38E983">
      <w:pPr>
        <w:pageBreakBefore/>
        <w:numPr>
          <w:ilvl w:val="0"/>
          <w:numId w:val="2"/>
        </w:numPr>
        <w:spacing w:after="20" w:line="480" w:lineRule="exact"/>
        <w:jc w:val="center"/>
        <w:outlineLvl w:val="0"/>
        <w:rPr>
          <w:rFonts w:ascii="宋体" w:hAnsi="宋体" w:cs="宋体"/>
          <w:b/>
          <w:bCs/>
          <w:sz w:val="32"/>
          <w:szCs w:val="32"/>
        </w:rPr>
      </w:pPr>
      <w:bookmarkStart w:id="185" w:name="_Toc10684"/>
      <w:bookmarkStart w:id="186" w:name="_Toc28789"/>
      <w:bookmarkStart w:id="187" w:name="_Toc19739"/>
      <w:bookmarkStart w:id="188" w:name="_Toc533"/>
      <w:bookmarkStart w:id="189" w:name="_Toc21635"/>
      <w:bookmarkStart w:id="190" w:name="_Toc5716"/>
      <w:bookmarkStart w:id="191" w:name="_Toc20749"/>
      <w:bookmarkStart w:id="192" w:name="_Toc256000013"/>
      <w:r>
        <w:rPr>
          <w:rFonts w:hint="eastAsia" w:ascii="宋体" w:hAnsi="宋体" w:cs="宋体"/>
          <w:b/>
          <w:bCs/>
          <w:sz w:val="32"/>
          <w:szCs w:val="32"/>
        </w:rPr>
        <w:t>评标方法与评标标准</w:t>
      </w:r>
      <w:bookmarkEnd w:id="185"/>
      <w:bookmarkEnd w:id="186"/>
      <w:bookmarkEnd w:id="187"/>
      <w:bookmarkEnd w:id="188"/>
      <w:bookmarkEnd w:id="189"/>
      <w:bookmarkEnd w:id="190"/>
      <w:bookmarkEnd w:id="191"/>
    </w:p>
    <w:bookmarkEnd w:id="165"/>
    <w:bookmarkEnd w:id="166"/>
    <w:bookmarkEnd w:id="174"/>
    <w:bookmarkEnd w:id="175"/>
    <w:bookmarkEnd w:id="176"/>
    <w:bookmarkEnd w:id="192"/>
    <w:p w14:paraId="31957069">
      <w:pPr>
        <w:widowControl/>
        <w:numPr>
          <w:ilvl w:val="0"/>
          <w:numId w:val="14"/>
        </w:numPr>
        <w:ind w:firstLine="482"/>
        <w:jc w:val="left"/>
        <w:outlineLvl w:val="1"/>
        <w:rPr>
          <w:rFonts w:ascii="宋体" w:hAnsi="宋体" w:cs="宋体"/>
          <w:b/>
          <w:bCs/>
          <w:sz w:val="24"/>
          <w:lang w:bidi="ar"/>
        </w:rPr>
      </w:pPr>
      <w:bookmarkStart w:id="193" w:name="_Toc13020"/>
      <w:bookmarkStart w:id="194" w:name="_Toc2578"/>
      <w:bookmarkStart w:id="195" w:name="_Toc27727"/>
      <w:bookmarkStart w:id="196" w:name="_Toc6051"/>
      <w:bookmarkStart w:id="197" w:name="_Toc23526"/>
      <w:bookmarkStart w:id="198" w:name="_Toc40428755"/>
      <w:bookmarkStart w:id="199" w:name="_Toc22171"/>
      <w:bookmarkStart w:id="200" w:name="_Toc31577"/>
      <w:bookmarkStart w:id="201" w:name="_Toc4186"/>
      <w:r>
        <w:rPr>
          <w:rFonts w:hint="eastAsia" w:ascii="宋体" w:hAnsi="宋体" w:cs="宋体"/>
          <w:b/>
          <w:bCs/>
          <w:sz w:val="24"/>
          <w:lang w:bidi="ar"/>
        </w:rPr>
        <w:t>评标方法与定标原则</w:t>
      </w:r>
      <w:bookmarkEnd w:id="193"/>
      <w:bookmarkEnd w:id="194"/>
      <w:bookmarkEnd w:id="195"/>
      <w:r>
        <w:rPr>
          <w:rFonts w:hint="eastAsia" w:ascii="宋体" w:hAnsi="宋体" w:cs="宋体"/>
          <w:b/>
          <w:bCs/>
          <w:sz w:val="24"/>
          <w:lang w:bidi="ar"/>
        </w:rPr>
        <w:t xml:space="preserve"> </w:t>
      </w:r>
    </w:p>
    <w:p w14:paraId="52149EA9">
      <w:pPr>
        <w:pStyle w:val="235"/>
        <w:spacing w:line="440" w:lineRule="exact"/>
        <w:ind w:firstLine="500"/>
        <w:rPr>
          <w:rFonts w:eastAsia="宋体"/>
          <w:bCs/>
          <w:spacing w:val="7"/>
        </w:rPr>
      </w:pPr>
      <w:r>
        <w:rPr>
          <w:rFonts w:eastAsia="宋体"/>
          <w:bCs/>
          <w:spacing w:val="7"/>
        </w:rPr>
        <w:t>1.1、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bookmarkStart w:id="202" w:name="EBd9567453f96a4fca96262d13cc886515"/>
      <w:bookmarkEnd w:id="202"/>
    </w:p>
    <w:p w14:paraId="70CA619D">
      <w:pPr>
        <w:widowControl/>
        <w:numPr>
          <w:ilvl w:val="0"/>
          <w:numId w:val="14"/>
        </w:numPr>
        <w:ind w:firstLine="482"/>
        <w:jc w:val="left"/>
        <w:outlineLvl w:val="1"/>
        <w:rPr>
          <w:rFonts w:ascii="宋体" w:hAnsi="宋体" w:cs="宋体"/>
          <w:b/>
          <w:bCs/>
          <w:sz w:val="24"/>
          <w:lang w:bidi="ar"/>
        </w:rPr>
      </w:pPr>
      <w:r>
        <w:rPr>
          <w:rFonts w:ascii="宋体" w:hAnsi="宋体" w:cs="宋体"/>
          <w:b/>
          <w:bCs/>
          <w:sz w:val="24"/>
          <w:lang w:bidi="ar"/>
        </w:rPr>
        <w:t>评标标准</w:t>
      </w:r>
      <w:bookmarkEnd w:id="196"/>
      <w:bookmarkEnd w:id="197"/>
      <w:bookmarkEnd w:id="198"/>
      <w:bookmarkEnd w:id="199"/>
      <w:bookmarkEnd w:id="200"/>
    </w:p>
    <w:p w14:paraId="130F01A5">
      <w:pPr>
        <w:ind w:right="-124" w:firstLine="480"/>
        <w:rPr>
          <w:b/>
          <w:bCs/>
          <w:sz w:val="24"/>
        </w:rPr>
      </w:pPr>
      <w:r>
        <w:rPr>
          <w:b/>
          <w:bCs/>
          <w:sz w:val="24"/>
        </w:rPr>
        <w:t xml:space="preserve">1 价格分 </w:t>
      </w:r>
      <w:r>
        <w:rPr>
          <w:rFonts w:hint="eastAsia"/>
          <w:b/>
          <w:bCs/>
          <w:sz w:val="24"/>
        </w:rPr>
        <w:t>45</w:t>
      </w:r>
      <w:r>
        <w:rPr>
          <w:b/>
          <w:bCs/>
          <w:sz w:val="24"/>
        </w:rPr>
        <w:t>分</w:t>
      </w:r>
    </w:p>
    <w:p w14:paraId="197A02EF">
      <w:pPr>
        <w:ind w:firstLine="508"/>
        <w:rPr>
          <w:bCs/>
          <w:spacing w:val="7"/>
          <w:sz w:val="24"/>
        </w:rPr>
      </w:pPr>
      <w:r>
        <w:rPr>
          <w:bCs/>
          <w:spacing w:val="7"/>
          <w:sz w:val="24"/>
        </w:rPr>
        <w:t>采用低价优先法计算，即满足招标文件要求且投标价格最低的投标价为评标基准价，其价格分为满分</w:t>
      </w:r>
      <w:r>
        <w:rPr>
          <w:rFonts w:hint="eastAsia"/>
          <w:bCs/>
          <w:spacing w:val="7"/>
          <w:sz w:val="24"/>
        </w:rPr>
        <w:t>45</w:t>
      </w:r>
      <w:r>
        <w:rPr>
          <w:bCs/>
          <w:spacing w:val="7"/>
          <w:sz w:val="24"/>
        </w:rPr>
        <w:t>.0分。其他投标人的价格分统一按照下列公式计算：</w:t>
      </w:r>
    </w:p>
    <w:p w14:paraId="60514140">
      <w:pPr>
        <w:ind w:firstLine="508"/>
        <w:rPr>
          <w:bCs/>
          <w:spacing w:val="7"/>
          <w:sz w:val="24"/>
        </w:rPr>
      </w:pPr>
      <w:r>
        <w:rPr>
          <w:bCs/>
          <w:spacing w:val="7"/>
          <w:sz w:val="24"/>
        </w:rPr>
        <w:t xml:space="preserve">投标报价得分=（评标基准价/投标报价）* </w:t>
      </w:r>
      <w:r>
        <w:rPr>
          <w:rFonts w:hint="eastAsia"/>
          <w:bCs/>
          <w:spacing w:val="7"/>
          <w:sz w:val="24"/>
        </w:rPr>
        <w:t>45</w:t>
      </w:r>
      <w:r>
        <w:rPr>
          <w:bCs/>
          <w:spacing w:val="7"/>
          <w:sz w:val="24"/>
        </w:rPr>
        <w:t>.0% * 100（保留二位小数）；</w:t>
      </w:r>
    </w:p>
    <w:p w14:paraId="7096920F">
      <w:pPr>
        <w:ind w:right="-124" w:firstLine="480"/>
        <w:rPr>
          <w:b/>
          <w:bCs/>
          <w:sz w:val="24"/>
        </w:rPr>
      </w:pPr>
      <w:r>
        <w:rPr>
          <w:b/>
          <w:bCs/>
          <w:sz w:val="24"/>
        </w:rPr>
        <w:t>2．性能质量分</w:t>
      </w:r>
      <w:r>
        <w:rPr>
          <w:rFonts w:hint="eastAsia"/>
          <w:b/>
          <w:bCs/>
          <w:sz w:val="24"/>
        </w:rPr>
        <w:t>25</w:t>
      </w:r>
      <w:r>
        <w:rPr>
          <w:b/>
          <w:bCs/>
          <w:sz w:val="24"/>
        </w:rPr>
        <w:t>分</w:t>
      </w:r>
    </w:p>
    <w:p w14:paraId="66B1045A">
      <w:pPr>
        <w:ind w:right="-124" w:firstLine="480"/>
        <w:rPr>
          <w:b/>
          <w:bCs/>
          <w:sz w:val="24"/>
        </w:rPr>
      </w:pPr>
      <w:r>
        <w:rPr>
          <w:b/>
          <w:bCs/>
          <w:sz w:val="24"/>
        </w:rPr>
        <w:t>2.1 性能质量</w:t>
      </w:r>
    </w:p>
    <w:p w14:paraId="688F06B6">
      <w:pPr>
        <w:ind w:firstLine="508"/>
      </w:pPr>
      <w:r>
        <w:rPr>
          <w:bCs/>
          <w:spacing w:val="7"/>
          <w:sz w:val="24"/>
        </w:rPr>
        <w:t>根据投标人提供的物品性能质量、技术指标和系统功能要求进行评定，完全符合招标文件中要求的得基本分</w:t>
      </w:r>
      <w:r>
        <w:rPr>
          <w:rFonts w:hint="eastAsia"/>
          <w:bCs/>
          <w:spacing w:val="7"/>
          <w:sz w:val="24"/>
        </w:rPr>
        <w:t>25</w:t>
      </w:r>
      <w:r>
        <w:rPr>
          <w:bCs/>
          <w:spacing w:val="7"/>
          <w:sz w:val="24"/>
        </w:rPr>
        <w:t>分；项目需求中“▲”项的为重要技术参数，每负偏离一项扣</w:t>
      </w:r>
      <w:r>
        <w:rPr>
          <w:rFonts w:hint="eastAsia"/>
          <w:bCs/>
          <w:spacing w:val="7"/>
          <w:sz w:val="24"/>
          <w:lang w:val="en-US" w:eastAsia="zh-CN"/>
        </w:rPr>
        <w:t>1</w:t>
      </w:r>
      <w:r>
        <w:rPr>
          <w:bCs/>
          <w:spacing w:val="7"/>
          <w:sz w:val="24"/>
        </w:rPr>
        <w:t>分；其余技术参数每负偏离一项扣</w:t>
      </w:r>
      <w:r>
        <w:rPr>
          <w:rFonts w:hint="eastAsia"/>
          <w:bCs/>
          <w:spacing w:val="7"/>
          <w:sz w:val="24"/>
          <w:lang w:val="en-US" w:eastAsia="zh-CN"/>
        </w:rPr>
        <w:t>0.5</w:t>
      </w:r>
      <w:r>
        <w:rPr>
          <w:bCs/>
          <w:spacing w:val="7"/>
          <w:sz w:val="24"/>
        </w:rPr>
        <w:t>分，扣完为止；加▲参数需</w:t>
      </w:r>
      <w:r>
        <w:rPr>
          <w:rFonts w:hint="eastAsia"/>
          <w:bCs/>
          <w:spacing w:val="7"/>
          <w:sz w:val="24"/>
        </w:rPr>
        <w:t>按</w:t>
      </w:r>
      <w:r>
        <w:rPr>
          <w:bCs/>
          <w:spacing w:val="7"/>
          <w:sz w:val="24"/>
        </w:rPr>
        <w:t>要求在投标文件中提供第三方检测机构出具的检测合格的检测报告，不提供则视为负偏离。</w:t>
      </w:r>
    </w:p>
    <w:p w14:paraId="3C0DE6D7">
      <w:pPr>
        <w:ind w:right="-124" w:firstLine="480"/>
        <w:rPr>
          <w:b/>
          <w:bCs/>
          <w:sz w:val="24"/>
        </w:rPr>
      </w:pPr>
      <w:r>
        <w:rPr>
          <w:b/>
          <w:bCs/>
          <w:sz w:val="24"/>
        </w:rPr>
        <w:t>3．项目技术方案分</w:t>
      </w:r>
      <w:r>
        <w:rPr>
          <w:rFonts w:hint="eastAsia"/>
          <w:b/>
          <w:bCs/>
          <w:sz w:val="24"/>
        </w:rPr>
        <w:t>20</w:t>
      </w:r>
      <w:r>
        <w:rPr>
          <w:b/>
          <w:bCs/>
          <w:sz w:val="24"/>
        </w:rPr>
        <w:t>分</w:t>
      </w:r>
    </w:p>
    <w:p w14:paraId="0DCFED3D">
      <w:pPr>
        <w:ind w:right="-124" w:firstLine="480"/>
        <w:rPr>
          <w:b/>
          <w:bCs/>
          <w:sz w:val="24"/>
        </w:rPr>
      </w:pPr>
      <w:r>
        <w:rPr>
          <w:b/>
          <w:bCs/>
          <w:sz w:val="24"/>
        </w:rPr>
        <w:t>3.1.实施方案</w:t>
      </w:r>
      <w:r>
        <w:rPr>
          <w:rFonts w:hint="eastAsia"/>
          <w:b/>
          <w:bCs/>
          <w:sz w:val="24"/>
        </w:rPr>
        <w:t>4分</w:t>
      </w:r>
    </w:p>
    <w:p w14:paraId="019EFE4E">
      <w:pPr>
        <w:ind w:firstLine="508"/>
        <w:rPr>
          <w:bCs/>
          <w:spacing w:val="7"/>
          <w:sz w:val="24"/>
        </w:rPr>
      </w:pPr>
      <w:r>
        <w:rPr>
          <w:bCs/>
          <w:spacing w:val="7"/>
          <w:sz w:val="24"/>
        </w:rPr>
        <w:t>根据投标人提供的实施方案：包括但不限于项目实施组织规划、实施进度计划、安全保证措施、质量保证措施、进度保证措施、难点解决方案综合评分。方案完全包含上述内容且内容有实质性意义满足项目需求的，得</w:t>
      </w:r>
      <w:r>
        <w:rPr>
          <w:rFonts w:hint="eastAsia"/>
          <w:bCs/>
          <w:spacing w:val="7"/>
          <w:sz w:val="24"/>
        </w:rPr>
        <w:t>4</w:t>
      </w:r>
      <w:r>
        <w:rPr>
          <w:bCs/>
          <w:spacing w:val="7"/>
          <w:sz w:val="24"/>
        </w:rPr>
        <w:t>分；方案内有部分内容缺失或部分内容无实质性意义得</w:t>
      </w:r>
      <w:r>
        <w:rPr>
          <w:rFonts w:hint="eastAsia"/>
          <w:bCs/>
          <w:spacing w:val="7"/>
          <w:sz w:val="24"/>
        </w:rPr>
        <w:t>3</w:t>
      </w:r>
      <w:r>
        <w:rPr>
          <w:bCs/>
          <w:spacing w:val="7"/>
          <w:sz w:val="24"/>
        </w:rPr>
        <w:t>分；方案内容简略且基本无实际意义得1分；不提供不得分。【0/1/</w:t>
      </w:r>
      <w:r>
        <w:rPr>
          <w:rFonts w:hint="eastAsia"/>
          <w:bCs/>
          <w:spacing w:val="7"/>
          <w:sz w:val="24"/>
        </w:rPr>
        <w:t>3</w:t>
      </w:r>
      <w:r>
        <w:rPr>
          <w:bCs/>
          <w:spacing w:val="7"/>
          <w:sz w:val="24"/>
        </w:rPr>
        <w:t>/</w:t>
      </w:r>
      <w:r>
        <w:rPr>
          <w:rFonts w:hint="eastAsia"/>
          <w:bCs/>
          <w:spacing w:val="7"/>
          <w:sz w:val="24"/>
        </w:rPr>
        <w:t>4</w:t>
      </w:r>
      <w:r>
        <w:rPr>
          <w:bCs/>
          <w:spacing w:val="7"/>
          <w:sz w:val="24"/>
        </w:rPr>
        <w:t>】</w:t>
      </w:r>
    </w:p>
    <w:p w14:paraId="084A1E85">
      <w:pPr>
        <w:ind w:right="-124" w:firstLine="480"/>
        <w:rPr>
          <w:b/>
          <w:bCs/>
          <w:sz w:val="24"/>
        </w:rPr>
      </w:pPr>
      <w:r>
        <w:rPr>
          <w:b/>
          <w:bCs/>
          <w:sz w:val="24"/>
        </w:rPr>
        <w:t>3.2.培训方案</w:t>
      </w:r>
      <w:r>
        <w:rPr>
          <w:rFonts w:hint="eastAsia"/>
          <w:b/>
          <w:bCs/>
          <w:sz w:val="24"/>
        </w:rPr>
        <w:t>4分</w:t>
      </w:r>
    </w:p>
    <w:p w14:paraId="68772125">
      <w:pPr>
        <w:ind w:firstLine="508"/>
        <w:rPr>
          <w:bCs/>
          <w:spacing w:val="7"/>
          <w:sz w:val="24"/>
        </w:rPr>
      </w:pPr>
      <w:r>
        <w:rPr>
          <w:bCs/>
          <w:spacing w:val="7"/>
          <w:sz w:val="24"/>
        </w:rPr>
        <w:t>根据投标人提供的人员培训方案</w:t>
      </w:r>
      <w:r>
        <w:rPr>
          <w:rFonts w:hint="eastAsia"/>
          <w:bCs/>
          <w:spacing w:val="7"/>
          <w:sz w:val="24"/>
        </w:rPr>
        <w:t>：</w:t>
      </w:r>
      <w:r>
        <w:rPr>
          <w:bCs/>
          <w:spacing w:val="7"/>
          <w:sz w:val="24"/>
        </w:rPr>
        <w:t>包括但不限于培训计划、培训对象，时间等进行综合评分。方案完全包含上述内容且内容有实质性意义满足项目需求的，得</w:t>
      </w:r>
      <w:r>
        <w:rPr>
          <w:rFonts w:hint="eastAsia"/>
          <w:bCs/>
          <w:spacing w:val="7"/>
          <w:sz w:val="24"/>
        </w:rPr>
        <w:t>4</w:t>
      </w:r>
      <w:r>
        <w:rPr>
          <w:bCs/>
          <w:spacing w:val="7"/>
          <w:sz w:val="24"/>
        </w:rPr>
        <w:t>分；方案内有部分内容缺失或部分内容无实质性意义得</w:t>
      </w:r>
      <w:r>
        <w:rPr>
          <w:rFonts w:hint="eastAsia"/>
          <w:bCs/>
          <w:spacing w:val="7"/>
          <w:sz w:val="24"/>
        </w:rPr>
        <w:t>3</w:t>
      </w:r>
      <w:r>
        <w:rPr>
          <w:bCs/>
          <w:spacing w:val="7"/>
          <w:sz w:val="24"/>
        </w:rPr>
        <w:t>分；方案内容简略且基本无实际意义得1分；不提供不得分。【0/1/</w:t>
      </w:r>
      <w:r>
        <w:rPr>
          <w:rFonts w:hint="eastAsia"/>
          <w:bCs/>
          <w:spacing w:val="7"/>
          <w:sz w:val="24"/>
        </w:rPr>
        <w:t>3</w:t>
      </w:r>
      <w:r>
        <w:rPr>
          <w:bCs/>
          <w:spacing w:val="7"/>
          <w:sz w:val="24"/>
        </w:rPr>
        <w:t>/</w:t>
      </w:r>
      <w:r>
        <w:rPr>
          <w:rFonts w:hint="eastAsia"/>
          <w:bCs/>
          <w:spacing w:val="7"/>
          <w:sz w:val="24"/>
        </w:rPr>
        <w:t>4</w:t>
      </w:r>
      <w:r>
        <w:rPr>
          <w:bCs/>
          <w:spacing w:val="7"/>
          <w:sz w:val="24"/>
        </w:rPr>
        <w:t>】</w:t>
      </w:r>
    </w:p>
    <w:p w14:paraId="0936726A">
      <w:pPr>
        <w:ind w:right="-124" w:firstLine="480"/>
        <w:rPr>
          <w:b/>
          <w:bCs/>
          <w:sz w:val="24"/>
        </w:rPr>
      </w:pPr>
      <w:r>
        <w:rPr>
          <w:b/>
          <w:bCs/>
          <w:sz w:val="24"/>
        </w:rPr>
        <w:t>3.</w:t>
      </w:r>
      <w:r>
        <w:rPr>
          <w:rFonts w:hint="eastAsia"/>
          <w:b/>
          <w:bCs/>
          <w:sz w:val="24"/>
        </w:rPr>
        <w:t>3</w:t>
      </w:r>
      <w:r>
        <w:rPr>
          <w:b/>
          <w:bCs/>
          <w:sz w:val="24"/>
        </w:rPr>
        <w:t>.整体运维方案</w:t>
      </w:r>
      <w:r>
        <w:rPr>
          <w:rFonts w:hint="eastAsia"/>
          <w:b/>
          <w:bCs/>
          <w:sz w:val="24"/>
        </w:rPr>
        <w:t>4分</w:t>
      </w:r>
    </w:p>
    <w:p w14:paraId="3EEF4C1E">
      <w:pPr>
        <w:ind w:firstLine="508"/>
      </w:pPr>
      <w:r>
        <w:rPr>
          <w:bCs/>
          <w:spacing w:val="7"/>
          <w:sz w:val="24"/>
        </w:rPr>
        <w:t>根据投标人提供的整体运维方案，</w:t>
      </w:r>
      <w:r>
        <w:rPr>
          <w:rFonts w:hint="eastAsia"/>
          <w:bCs/>
          <w:spacing w:val="7"/>
          <w:sz w:val="24"/>
        </w:rPr>
        <w:t>包括但不限于</w:t>
      </w:r>
      <w:r>
        <w:rPr>
          <w:bCs/>
          <w:spacing w:val="7"/>
          <w:sz w:val="24"/>
        </w:rPr>
        <w:t>运维保障服务、运维制度、运维保障体系、维保计划等进行综合评分。方案内容完全包含上述内容且内容有实质性意义满足项目需求的，得</w:t>
      </w:r>
      <w:r>
        <w:rPr>
          <w:rFonts w:hint="eastAsia"/>
          <w:bCs/>
          <w:spacing w:val="7"/>
          <w:sz w:val="24"/>
        </w:rPr>
        <w:t>4</w:t>
      </w:r>
      <w:r>
        <w:rPr>
          <w:bCs/>
          <w:spacing w:val="7"/>
          <w:sz w:val="24"/>
        </w:rPr>
        <w:t>分；方案内容有部分缺少或部分内容无实质性意义的，得</w:t>
      </w:r>
      <w:r>
        <w:rPr>
          <w:rFonts w:hint="eastAsia"/>
          <w:bCs/>
          <w:spacing w:val="7"/>
          <w:sz w:val="24"/>
        </w:rPr>
        <w:t>3</w:t>
      </w:r>
      <w:r>
        <w:rPr>
          <w:bCs/>
          <w:spacing w:val="7"/>
          <w:sz w:val="24"/>
        </w:rPr>
        <w:t>分；方案内容简略且基本无实质性意义的，得</w:t>
      </w:r>
      <w:r>
        <w:rPr>
          <w:rFonts w:hint="eastAsia"/>
          <w:bCs/>
          <w:spacing w:val="7"/>
          <w:sz w:val="24"/>
        </w:rPr>
        <w:t>1</w:t>
      </w:r>
      <w:r>
        <w:rPr>
          <w:bCs/>
          <w:spacing w:val="7"/>
          <w:sz w:val="24"/>
        </w:rPr>
        <w:t>分；未提供方案说明的不得分。【0/1/3/</w:t>
      </w:r>
      <w:r>
        <w:rPr>
          <w:rFonts w:hint="eastAsia"/>
          <w:bCs/>
          <w:spacing w:val="7"/>
          <w:sz w:val="24"/>
        </w:rPr>
        <w:t>4</w:t>
      </w:r>
      <w:r>
        <w:rPr>
          <w:bCs/>
          <w:spacing w:val="7"/>
          <w:sz w:val="24"/>
        </w:rPr>
        <w:t>】</w:t>
      </w:r>
    </w:p>
    <w:p w14:paraId="48E4B7A1">
      <w:pPr>
        <w:ind w:right="-124" w:firstLine="480"/>
        <w:rPr>
          <w:b/>
          <w:bCs/>
          <w:sz w:val="24"/>
        </w:rPr>
      </w:pPr>
      <w:r>
        <w:rPr>
          <w:b/>
          <w:bCs/>
          <w:sz w:val="24"/>
        </w:rPr>
        <w:t>3.</w:t>
      </w:r>
      <w:r>
        <w:rPr>
          <w:rFonts w:hint="eastAsia"/>
          <w:b/>
          <w:bCs/>
          <w:sz w:val="24"/>
        </w:rPr>
        <w:t>4</w:t>
      </w:r>
      <w:r>
        <w:rPr>
          <w:b/>
          <w:bCs/>
          <w:sz w:val="24"/>
        </w:rPr>
        <w:t>.售后方案</w:t>
      </w:r>
      <w:r>
        <w:rPr>
          <w:rFonts w:hint="eastAsia"/>
          <w:b/>
          <w:bCs/>
          <w:sz w:val="24"/>
        </w:rPr>
        <w:t>4分</w:t>
      </w:r>
    </w:p>
    <w:p w14:paraId="7C878842">
      <w:pPr>
        <w:ind w:firstLine="508"/>
        <w:rPr>
          <w:bCs/>
          <w:spacing w:val="7"/>
          <w:sz w:val="24"/>
        </w:rPr>
      </w:pPr>
      <w:r>
        <w:rPr>
          <w:bCs/>
          <w:spacing w:val="7"/>
          <w:sz w:val="24"/>
        </w:rPr>
        <w:t>根据投标人提供的针对本项目的售后方案：包括但不限于定期巡检、响应时间、故障排除时间、保修计划、服务措施等进行综合评分。方案完全包含上述内容且内容有实质性意义满足项目需求的，得</w:t>
      </w:r>
      <w:r>
        <w:rPr>
          <w:rFonts w:hint="eastAsia"/>
          <w:bCs/>
          <w:spacing w:val="7"/>
          <w:sz w:val="24"/>
        </w:rPr>
        <w:t>4</w:t>
      </w:r>
      <w:r>
        <w:rPr>
          <w:bCs/>
          <w:spacing w:val="7"/>
          <w:sz w:val="24"/>
        </w:rPr>
        <w:t>分；方案内有部分缺少或部分内容无实质性意义的，得3分；方案内容简略且基本无实质性意义的，得1分；未提供方案说明的不得分。【0/1/3/</w:t>
      </w:r>
      <w:r>
        <w:rPr>
          <w:rFonts w:hint="eastAsia"/>
          <w:bCs/>
          <w:spacing w:val="7"/>
          <w:sz w:val="24"/>
        </w:rPr>
        <w:t>4</w:t>
      </w:r>
      <w:r>
        <w:rPr>
          <w:bCs/>
          <w:spacing w:val="7"/>
          <w:sz w:val="24"/>
        </w:rPr>
        <w:t>】</w:t>
      </w:r>
    </w:p>
    <w:p w14:paraId="4D61E3F5">
      <w:pPr>
        <w:ind w:right="-124" w:firstLine="480"/>
        <w:rPr>
          <w:b/>
          <w:bCs/>
          <w:sz w:val="24"/>
        </w:rPr>
      </w:pPr>
      <w:r>
        <w:rPr>
          <w:b/>
          <w:bCs/>
          <w:sz w:val="24"/>
        </w:rPr>
        <w:t>3.</w:t>
      </w:r>
      <w:r>
        <w:rPr>
          <w:rFonts w:hint="eastAsia"/>
          <w:b/>
          <w:bCs/>
          <w:sz w:val="24"/>
        </w:rPr>
        <w:t>5</w:t>
      </w:r>
      <w:r>
        <w:rPr>
          <w:b/>
          <w:bCs/>
          <w:sz w:val="24"/>
        </w:rPr>
        <w:t>.应急</w:t>
      </w:r>
      <w:r>
        <w:rPr>
          <w:rFonts w:hint="eastAsia"/>
          <w:b/>
          <w:bCs/>
          <w:sz w:val="24"/>
        </w:rPr>
        <w:t>保障方案4分</w:t>
      </w:r>
    </w:p>
    <w:p w14:paraId="3C72F997">
      <w:pPr>
        <w:ind w:firstLine="508"/>
      </w:pPr>
      <w:r>
        <w:rPr>
          <w:bCs/>
          <w:spacing w:val="7"/>
          <w:sz w:val="24"/>
        </w:rPr>
        <w:t>根据投标人提供的针对本项目的应急</w:t>
      </w:r>
      <w:r>
        <w:rPr>
          <w:rFonts w:hint="eastAsia"/>
          <w:bCs/>
          <w:spacing w:val="7"/>
          <w:sz w:val="24"/>
        </w:rPr>
        <w:t>保障方案：</w:t>
      </w:r>
      <w:r>
        <w:rPr>
          <w:bCs/>
          <w:spacing w:val="7"/>
          <w:sz w:val="24"/>
        </w:rPr>
        <w:t>包括但不限于应急行动、应急措施</w:t>
      </w:r>
      <w:r>
        <w:rPr>
          <w:rFonts w:hint="eastAsia"/>
          <w:bCs/>
          <w:spacing w:val="7"/>
          <w:sz w:val="24"/>
        </w:rPr>
        <w:t>、</w:t>
      </w:r>
      <w:r>
        <w:rPr>
          <w:bCs/>
          <w:spacing w:val="7"/>
          <w:sz w:val="24"/>
        </w:rPr>
        <w:t>应急演练和应急保障等进行综合评分。方案完全包含上述内容且内容有实质性意义满足项目需求的，得</w:t>
      </w:r>
      <w:r>
        <w:rPr>
          <w:rFonts w:hint="eastAsia"/>
          <w:bCs/>
          <w:spacing w:val="7"/>
          <w:sz w:val="24"/>
        </w:rPr>
        <w:t>4</w:t>
      </w:r>
      <w:r>
        <w:rPr>
          <w:bCs/>
          <w:spacing w:val="7"/>
          <w:sz w:val="24"/>
        </w:rPr>
        <w:t>分；方案内有部分缺少或部分内容无实质性意义的，得</w:t>
      </w:r>
      <w:r>
        <w:rPr>
          <w:rFonts w:hint="eastAsia"/>
          <w:bCs/>
          <w:spacing w:val="7"/>
          <w:sz w:val="24"/>
        </w:rPr>
        <w:t>3</w:t>
      </w:r>
      <w:r>
        <w:rPr>
          <w:bCs/>
          <w:spacing w:val="7"/>
          <w:sz w:val="24"/>
        </w:rPr>
        <w:t>分；方案内容简略且基本无实质性意义的，得1分；未提供方案说明的不得分。【0/1/3/</w:t>
      </w:r>
      <w:r>
        <w:rPr>
          <w:rFonts w:hint="eastAsia"/>
          <w:bCs/>
          <w:spacing w:val="7"/>
          <w:sz w:val="24"/>
        </w:rPr>
        <w:t>4</w:t>
      </w:r>
      <w:r>
        <w:rPr>
          <w:bCs/>
          <w:spacing w:val="7"/>
          <w:sz w:val="24"/>
        </w:rPr>
        <w:t>】</w:t>
      </w:r>
    </w:p>
    <w:p w14:paraId="4BE24F40">
      <w:pPr>
        <w:ind w:right="-124" w:firstLine="480"/>
        <w:rPr>
          <w:b/>
          <w:bCs/>
          <w:sz w:val="24"/>
        </w:rPr>
      </w:pPr>
      <w:r>
        <w:rPr>
          <w:b/>
          <w:bCs/>
          <w:sz w:val="24"/>
        </w:rPr>
        <w:t>4．人员配备分</w:t>
      </w:r>
      <w:r>
        <w:rPr>
          <w:rFonts w:hint="eastAsia"/>
          <w:b/>
          <w:bCs/>
          <w:sz w:val="24"/>
        </w:rPr>
        <w:t>6</w:t>
      </w:r>
      <w:r>
        <w:rPr>
          <w:b/>
          <w:bCs/>
          <w:sz w:val="24"/>
        </w:rPr>
        <w:t>分</w:t>
      </w:r>
    </w:p>
    <w:p w14:paraId="1C14FDF1">
      <w:pPr>
        <w:ind w:right="-124" w:firstLine="480"/>
        <w:rPr>
          <w:b/>
          <w:bCs/>
          <w:sz w:val="24"/>
        </w:rPr>
      </w:pPr>
      <w:r>
        <w:rPr>
          <w:b/>
          <w:bCs/>
          <w:sz w:val="24"/>
        </w:rPr>
        <w:t xml:space="preserve">4.1.项目经理 </w:t>
      </w:r>
      <w:r>
        <w:rPr>
          <w:rFonts w:hint="eastAsia"/>
          <w:b/>
          <w:bCs/>
          <w:sz w:val="24"/>
        </w:rPr>
        <w:t>2</w:t>
      </w:r>
      <w:r>
        <w:rPr>
          <w:b/>
          <w:bCs/>
          <w:sz w:val="24"/>
        </w:rPr>
        <w:t>分</w:t>
      </w:r>
    </w:p>
    <w:p w14:paraId="5D345571">
      <w:pPr>
        <w:ind w:firstLine="508"/>
        <w:rPr>
          <w:bCs/>
          <w:spacing w:val="7"/>
          <w:sz w:val="24"/>
        </w:rPr>
      </w:pPr>
      <w:r>
        <w:rPr>
          <w:bCs/>
          <w:spacing w:val="7"/>
          <w:sz w:val="24"/>
        </w:rPr>
        <w:t>投标人拟投入本项目的项目经理具有</w:t>
      </w:r>
      <w:r>
        <w:rPr>
          <w:rFonts w:hint="eastAsia"/>
          <w:bCs/>
          <w:spacing w:val="7"/>
          <w:sz w:val="24"/>
        </w:rPr>
        <w:t>二</w:t>
      </w:r>
      <w:r>
        <w:rPr>
          <w:bCs/>
          <w:spacing w:val="7"/>
          <w:sz w:val="24"/>
        </w:rPr>
        <w:t>级建造师证书（机电工程）得</w:t>
      </w:r>
      <w:r>
        <w:rPr>
          <w:rFonts w:hint="eastAsia"/>
          <w:bCs/>
          <w:spacing w:val="7"/>
          <w:sz w:val="24"/>
        </w:rPr>
        <w:t>1</w:t>
      </w:r>
      <w:r>
        <w:rPr>
          <w:bCs/>
          <w:spacing w:val="7"/>
          <w:sz w:val="24"/>
        </w:rPr>
        <w:t>分</w:t>
      </w:r>
      <w:r>
        <w:rPr>
          <w:rFonts w:hint="eastAsia"/>
          <w:bCs/>
          <w:spacing w:val="7"/>
          <w:sz w:val="24"/>
        </w:rPr>
        <w:t>，</w:t>
      </w:r>
      <w:r>
        <w:rPr>
          <w:bCs/>
          <w:spacing w:val="7"/>
          <w:sz w:val="24"/>
        </w:rPr>
        <w:t>具有</w:t>
      </w:r>
      <w:r>
        <w:rPr>
          <w:rFonts w:hint="eastAsia"/>
          <w:bCs/>
          <w:spacing w:val="7"/>
          <w:sz w:val="24"/>
        </w:rPr>
        <w:t>一</w:t>
      </w:r>
      <w:r>
        <w:rPr>
          <w:bCs/>
          <w:spacing w:val="7"/>
          <w:sz w:val="24"/>
        </w:rPr>
        <w:t>级建造师证书（机电工程）得</w:t>
      </w:r>
      <w:r>
        <w:rPr>
          <w:rFonts w:hint="eastAsia"/>
          <w:bCs/>
          <w:spacing w:val="7"/>
          <w:sz w:val="24"/>
        </w:rPr>
        <w:t>2</w:t>
      </w:r>
      <w:r>
        <w:rPr>
          <w:bCs/>
          <w:spacing w:val="7"/>
          <w:sz w:val="24"/>
        </w:rPr>
        <w:t>分，本项最多得</w:t>
      </w:r>
      <w:r>
        <w:rPr>
          <w:rFonts w:hint="eastAsia"/>
          <w:bCs/>
          <w:spacing w:val="7"/>
          <w:sz w:val="24"/>
        </w:rPr>
        <w:t>2</w:t>
      </w:r>
      <w:r>
        <w:rPr>
          <w:bCs/>
          <w:spacing w:val="7"/>
          <w:sz w:val="24"/>
        </w:rPr>
        <w:t>分。（请在投标文件中提供相关人员证书并提供社保缴纳证明材料，不提供的不得分）</w:t>
      </w:r>
    </w:p>
    <w:p w14:paraId="1CF74453">
      <w:pPr>
        <w:ind w:right="-124" w:firstLine="480"/>
        <w:rPr>
          <w:b/>
          <w:bCs/>
          <w:sz w:val="24"/>
        </w:rPr>
      </w:pPr>
      <w:r>
        <w:rPr>
          <w:b/>
          <w:bCs/>
          <w:sz w:val="24"/>
        </w:rPr>
        <w:t xml:space="preserve">4.2.项目技术负责人 </w:t>
      </w:r>
      <w:r>
        <w:rPr>
          <w:rFonts w:hint="eastAsia"/>
          <w:b/>
          <w:bCs/>
          <w:sz w:val="24"/>
        </w:rPr>
        <w:t>2</w:t>
      </w:r>
      <w:r>
        <w:rPr>
          <w:b/>
          <w:bCs/>
          <w:sz w:val="24"/>
        </w:rPr>
        <w:t>分</w:t>
      </w:r>
    </w:p>
    <w:p w14:paraId="2EB3C82F">
      <w:pPr>
        <w:ind w:firstLine="508"/>
        <w:rPr>
          <w:bCs/>
          <w:spacing w:val="7"/>
          <w:sz w:val="24"/>
        </w:rPr>
      </w:pPr>
      <w:r>
        <w:rPr>
          <w:bCs/>
          <w:spacing w:val="7"/>
          <w:sz w:val="24"/>
        </w:rPr>
        <w:t>投标人拟投入本项目的项目技术负责人具有安防系统集成项目经理（</w:t>
      </w:r>
      <w:r>
        <w:rPr>
          <w:rFonts w:hint="eastAsia"/>
          <w:bCs/>
          <w:spacing w:val="7"/>
          <w:sz w:val="24"/>
        </w:rPr>
        <w:t>中级</w:t>
      </w:r>
      <w:r>
        <w:rPr>
          <w:bCs/>
          <w:spacing w:val="7"/>
          <w:sz w:val="24"/>
        </w:rPr>
        <w:t>）证书得</w:t>
      </w:r>
      <w:r>
        <w:rPr>
          <w:rFonts w:hint="eastAsia"/>
          <w:bCs/>
          <w:spacing w:val="7"/>
          <w:sz w:val="24"/>
        </w:rPr>
        <w:t>1</w:t>
      </w:r>
      <w:r>
        <w:rPr>
          <w:bCs/>
          <w:spacing w:val="7"/>
          <w:sz w:val="24"/>
        </w:rPr>
        <w:t>分</w:t>
      </w:r>
      <w:r>
        <w:rPr>
          <w:rFonts w:hint="eastAsia"/>
          <w:bCs/>
          <w:spacing w:val="7"/>
          <w:sz w:val="24"/>
        </w:rPr>
        <w:t>，</w:t>
      </w:r>
      <w:r>
        <w:rPr>
          <w:bCs/>
          <w:spacing w:val="7"/>
          <w:sz w:val="24"/>
        </w:rPr>
        <w:t>具有安防系统集成项目经理（</w:t>
      </w:r>
      <w:r>
        <w:rPr>
          <w:rFonts w:hint="eastAsia"/>
          <w:bCs/>
          <w:spacing w:val="7"/>
          <w:sz w:val="24"/>
        </w:rPr>
        <w:t>高级</w:t>
      </w:r>
      <w:r>
        <w:rPr>
          <w:bCs/>
          <w:spacing w:val="7"/>
          <w:sz w:val="24"/>
        </w:rPr>
        <w:t>）证书得</w:t>
      </w:r>
      <w:r>
        <w:rPr>
          <w:rFonts w:hint="eastAsia"/>
          <w:bCs/>
          <w:spacing w:val="7"/>
          <w:sz w:val="24"/>
        </w:rPr>
        <w:t>2</w:t>
      </w:r>
      <w:r>
        <w:rPr>
          <w:bCs/>
          <w:spacing w:val="7"/>
          <w:sz w:val="24"/>
        </w:rPr>
        <w:t>分，本项最多得</w:t>
      </w:r>
      <w:r>
        <w:rPr>
          <w:rFonts w:hint="eastAsia"/>
          <w:bCs/>
          <w:spacing w:val="7"/>
          <w:sz w:val="24"/>
        </w:rPr>
        <w:t>2</w:t>
      </w:r>
      <w:r>
        <w:rPr>
          <w:bCs/>
          <w:spacing w:val="7"/>
          <w:sz w:val="24"/>
        </w:rPr>
        <w:t>分。（请在投标文件中提供相关人员证书并提供社保</w:t>
      </w:r>
      <w:r>
        <w:rPr>
          <w:rFonts w:hint="eastAsia"/>
          <w:bCs/>
          <w:spacing w:val="7"/>
          <w:sz w:val="24"/>
        </w:rPr>
        <w:t>缴纳</w:t>
      </w:r>
      <w:r>
        <w:rPr>
          <w:bCs/>
          <w:spacing w:val="7"/>
          <w:sz w:val="24"/>
        </w:rPr>
        <w:t>证明材料，不提供的不得分）</w:t>
      </w:r>
    </w:p>
    <w:p w14:paraId="51BFA321">
      <w:pPr>
        <w:ind w:right="-124" w:firstLine="480"/>
        <w:rPr>
          <w:b/>
          <w:bCs/>
          <w:sz w:val="24"/>
        </w:rPr>
      </w:pPr>
      <w:r>
        <w:rPr>
          <w:b/>
          <w:bCs/>
          <w:sz w:val="24"/>
        </w:rPr>
        <w:t>4.3.运维负责人 2分</w:t>
      </w:r>
    </w:p>
    <w:p w14:paraId="783D9B3F">
      <w:pPr>
        <w:ind w:firstLine="508"/>
        <w:rPr>
          <w:bCs/>
          <w:spacing w:val="7"/>
          <w:sz w:val="24"/>
        </w:rPr>
      </w:pPr>
      <w:r>
        <w:rPr>
          <w:bCs/>
          <w:spacing w:val="7"/>
          <w:sz w:val="24"/>
        </w:rPr>
        <w:t>投标人拟投入本项目的运维负责人具有IT运维工程师（</w:t>
      </w:r>
      <w:r>
        <w:rPr>
          <w:rFonts w:hint="eastAsia"/>
          <w:bCs/>
          <w:spacing w:val="7"/>
          <w:sz w:val="24"/>
        </w:rPr>
        <w:t>中级</w:t>
      </w:r>
      <w:r>
        <w:rPr>
          <w:bCs/>
          <w:spacing w:val="7"/>
          <w:sz w:val="24"/>
        </w:rPr>
        <w:t>）证书得</w:t>
      </w:r>
      <w:r>
        <w:rPr>
          <w:rFonts w:hint="eastAsia"/>
          <w:bCs/>
          <w:spacing w:val="7"/>
          <w:sz w:val="24"/>
        </w:rPr>
        <w:t>1</w:t>
      </w:r>
      <w:r>
        <w:rPr>
          <w:bCs/>
          <w:spacing w:val="7"/>
          <w:sz w:val="24"/>
        </w:rPr>
        <w:t>分</w:t>
      </w:r>
      <w:r>
        <w:rPr>
          <w:rFonts w:hint="eastAsia"/>
          <w:bCs/>
          <w:spacing w:val="7"/>
          <w:sz w:val="24"/>
        </w:rPr>
        <w:t>，</w:t>
      </w:r>
      <w:r>
        <w:rPr>
          <w:bCs/>
          <w:spacing w:val="7"/>
          <w:sz w:val="24"/>
        </w:rPr>
        <w:t>具有IT运维工程师（</w:t>
      </w:r>
      <w:r>
        <w:rPr>
          <w:rFonts w:hint="eastAsia"/>
          <w:bCs/>
          <w:spacing w:val="7"/>
          <w:sz w:val="24"/>
        </w:rPr>
        <w:t>高级</w:t>
      </w:r>
      <w:r>
        <w:rPr>
          <w:bCs/>
          <w:spacing w:val="7"/>
          <w:sz w:val="24"/>
        </w:rPr>
        <w:t>）证书得</w:t>
      </w:r>
      <w:r>
        <w:rPr>
          <w:rFonts w:hint="eastAsia"/>
          <w:bCs/>
          <w:spacing w:val="7"/>
          <w:sz w:val="24"/>
        </w:rPr>
        <w:t>2</w:t>
      </w:r>
      <w:r>
        <w:rPr>
          <w:bCs/>
          <w:spacing w:val="7"/>
          <w:sz w:val="24"/>
        </w:rPr>
        <w:t>分，本项最多得2分。（请在投标文件中提供相关人员证书并提供社保</w:t>
      </w:r>
      <w:r>
        <w:rPr>
          <w:rFonts w:hint="eastAsia"/>
          <w:bCs/>
          <w:spacing w:val="7"/>
          <w:sz w:val="24"/>
        </w:rPr>
        <w:t>缴纳</w:t>
      </w:r>
      <w:r>
        <w:rPr>
          <w:bCs/>
          <w:spacing w:val="7"/>
          <w:sz w:val="24"/>
        </w:rPr>
        <w:t>证明材料，不提供的不得分）</w:t>
      </w:r>
    </w:p>
    <w:p w14:paraId="1C38CE3C">
      <w:pPr>
        <w:ind w:firstLine="510"/>
      </w:pPr>
      <w:r>
        <w:rPr>
          <w:b/>
          <w:bCs/>
          <w:spacing w:val="7"/>
          <w:sz w:val="24"/>
        </w:rPr>
        <w:t>注：以上岗位不得兼任。</w:t>
      </w:r>
    </w:p>
    <w:p w14:paraId="473DE6F7">
      <w:pPr>
        <w:ind w:right="-124" w:firstLine="480"/>
        <w:rPr>
          <w:b/>
          <w:bCs/>
          <w:sz w:val="24"/>
        </w:rPr>
      </w:pPr>
      <w:r>
        <w:rPr>
          <w:b/>
          <w:bCs/>
          <w:sz w:val="24"/>
        </w:rPr>
        <w:t>5．履约能力分</w:t>
      </w:r>
      <w:r>
        <w:rPr>
          <w:rFonts w:hint="eastAsia"/>
          <w:b/>
          <w:bCs/>
          <w:sz w:val="24"/>
        </w:rPr>
        <w:t>4</w:t>
      </w:r>
      <w:r>
        <w:rPr>
          <w:b/>
          <w:bCs/>
          <w:sz w:val="24"/>
        </w:rPr>
        <w:t>分</w:t>
      </w:r>
    </w:p>
    <w:p w14:paraId="1CE64125">
      <w:pPr>
        <w:ind w:right="-124" w:firstLine="480"/>
        <w:rPr>
          <w:b/>
          <w:bCs/>
          <w:sz w:val="24"/>
        </w:rPr>
      </w:pPr>
      <w:r>
        <w:rPr>
          <w:b/>
          <w:bCs/>
          <w:sz w:val="24"/>
        </w:rPr>
        <w:t>5.1 类似业绩</w:t>
      </w:r>
      <w:r>
        <w:rPr>
          <w:rFonts w:hint="eastAsia"/>
          <w:b/>
          <w:bCs/>
          <w:sz w:val="24"/>
        </w:rPr>
        <w:t>3分</w:t>
      </w:r>
    </w:p>
    <w:p w14:paraId="6F6EE20C">
      <w:pPr>
        <w:ind w:firstLine="508"/>
        <w:rPr>
          <w:bCs/>
          <w:spacing w:val="7"/>
          <w:sz w:val="24"/>
        </w:rPr>
      </w:pPr>
      <w:r>
        <w:rPr>
          <w:bCs/>
          <w:spacing w:val="7"/>
          <w:sz w:val="24"/>
        </w:rPr>
        <w:t>投标人提供2022年以来类似业绩介绍，有一份得</w:t>
      </w:r>
      <w:r>
        <w:rPr>
          <w:rFonts w:hint="eastAsia"/>
          <w:bCs/>
          <w:spacing w:val="7"/>
          <w:sz w:val="24"/>
        </w:rPr>
        <w:t>1</w:t>
      </w:r>
      <w:r>
        <w:rPr>
          <w:bCs/>
          <w:spacing w:val="7"/>
          <w:sz w:val="24"/>
        </w:rPr>
        <w:t>分，最多得</w:t>
      </w:r>
      <w:r>
        <w:rPr>
          <w:rFonts w:hint="eastAsia"/>
          <w:bCs/>
          <w:spacing w:val="7"/>
          <w:sz w:val="24"/>
        </w:rPr>
        <w:t>3</w:t>
      </w:r>
      <w:r>
        <w:rPr>
          <w:bCs/>
          <w:spacing w:val="7"/>
          <w:sz w:val="24"/>
        </w:rPr>
        <w:t>分（请在投标文件中提供合同</w:t>
      </w:r>
      <w:r>
        <w:rPr>
          <w:rFonts w:hint="eastAsia"/>
          <w:bCs/>
          <w:spacing w:val="7"/>
          <w:sz w:val="24"/>
        </w:rPr>
        <w:t>扫描件</w:t>
      </w:r>
      <w:r>
        <w:rPr>
          <w:bCs/>
          <w:spacing w:val="7"/>
          <w:sz w:val="24"/>
        </w:rPr>
        <w:t>，合同中须反映出相关内容，如合同中不能反映，须提供其他材料予以佐证，不提供的不得</w:t>
      </w:r>
      <w:r>
        <w:rPr>
          <w:rFonts w:hint="eastAsia"/>
          <w:bCs/>
          <w:spacing w:val="7"/>
          <w:sz w:val="24"/>
        </w:rPr>
        <w:t>分）</w:t>
      </w:r>
      <w:r>
        <w:rPr>
          <w:bCs/>
          <w:spacing w:val="7"/>
          <w:sz w:val="24"/>
        </w:rPr>
        <w:t>。</w:t>
      </w:r>
    </w:p>
    <w:p w14:paraId="69A4CE50">
      <w:pPr>
        <w:ind w:right="-124" w:firstLine="480"/>
        <w:rPr>
          <w:b/>
          <w:bCs/>
          <w:sz w:val="24"/>
        </w:rPr>
      </w:pPr>
      <w:r>
        <w:rPr>
          <w:b/>
          <w:bCs/>
          <w:sz w:val="24"/>
        </w:rPr>
        <w:t>5.2证书</w:t>
      </w:r>
      <w:r>
        <w:rPr>
          <w:rFonts w:hint="eastAsia"/>
          <w:b/>
          <w:bCs/>
          <w:sz w:val="24"/>
        </w:rPr>
        <w:t>1分</w:t>
      </w:r>
    </w:p>
    <w:p w14:paraId="45FCF077">
      <w:pPr>
        <w:ind w:firstLine="508"/>
        <w:rPr>
          <w:bCs/>
          <w:spacing w:val="7"/>
          <w:sz w:val="24"/>
        </w:rPr>
      </w:pPr>
      <w:r>
        <w:rPr>
          <w:bCs/>
          <w:spacing w:val="7"/>
          <w:sz w:val="24"/>
        </w:rPr>
        <w:t>投标人具有信息技术服务管理体系认证证书、信息安全管理体系认证证书的，有一个得</w:t>
      </w:r>
      <w:r>
        <w:rPr>
          <w:rFonts w:hint="eastAsia"/>
          <w:bCs/>
          <w:spacing w:val="7"/>
          <w:sz w:val="24"/>
        </w:rPr>
        <w:t>0.5</w:t>
      </w:r>
      <w:r>
        <w:rPr>
          <w:bCs/>
          <w:spacing w:val="7"/>
          <w:sz w:val="24"/>
        </w:rPr>
        <w:t>分，最多得</w:t>
      </w:r>
      <w:r>
        <w:rPr>
          <w:rFonts w:hint="eastAsia"/>
          <w:bCs/>
          <w:spacing w:val="7"/>
          <w:sz w:val="24"/>
        </w:rPr>
        <w:t>1</w:t>
      </w:r>
      <w:r>
        <w:rPr>
          <w:bCs/>
          <w:spacing w:val="7"/>
          <w:sz w:val="24"/>
        </w:rPr>
        <w:t>分。（请在投标文件中提供有效期内相关证书的证明材料，不提供的不得分）</w:t>
      </w:r>
    </w:p>
    <w:p w14:paraId="54AD88D4">
      <w:pPr>
        <w:ind w:right="-124" w:firstLine="480"/>
        <w:rPr>
          <w:b/>
          <w:bCs/>
          <w:sz w:val="24"/>
        </w:rPr>
      </w:pPr>
      <w:r>
        <w:rPr>
          <w:b/>
          <w:bCs/>
          <w:sz w:val="24"/>
        </w:rPr>
        <w:t>注：以上证明材料，不提供不得分。</w:t>
      </w:r>
    </w:p>
    <w:p w14:paraId="2E3E1287">
      <w:pPr>
        <w:pageBreakBefore/>
        <w:numPr>
          <w:ilvl w:val="0"/>
          <w:numId w:val="2"/>
        </w:numPr>
        <w:spacing w:after="20" w:line="480" w:lineRule="exact"/>
        <w:jc w:val="center"/>
        <w:outlineLvl w:val="0"/>
        <w:rPr>
          <w:rFonts w:ascii="宋体" w:hAnsi="宋体" w:cs="宋体"/>
          <w:b/>
          <w:bCs/>
          <w:sz w:val="32"/>
          <w:szCs w:val="32"/>
        </w:rPr>
      </w:pPr>
      <w:r>
        <w:rPr>
          <w:rFonts w:hint="eastAsia" w:ascii="宋体" w:hAnsi="宋体" w:cs="宋体"/>
          <w:b/>
          <w:bCs/>
          <w:sz w:val="32"/>
          <w:szCs w:val="32"/>
        </w:rPr>
        <w:t>投标文件格式</w:t>
      </w:r>
      <w:bookmarkEnd w:id="201"/>
    </w:p>
    <w:p w14:paraId="079D0DB6">
      <w:pPr>
        <w:pBdr>
          <w:top w:val="none" w:color="000000" w:sz="0" w:space="0"/>
          <w:left w:val="none" w:color="000000" w:sz="0" w:space="0"/>
          <w:bottom w:val="none" w:color="000000" w:sz="0" w:space="0"/>
          <w:right w:val="none" w:color="000000" w:sz="0" w:space="0"/>
        </w:pBdr>
        <w:spacing w:before="210" w:after="57" w:line="439" w:lineRule="atLeast"/>
        <w:ind w:left="283" w:firstLine="0"/>
      </w:pPr>
      <w:r>
        <w:rPr>
          <w:rFonts w:ascii="宋体" w:hAnsi="宋体" w:cs="宋体"/>
          <w:color w:val="000000"/>
          <w:sz w:val="24"/>
        </w:rPr>
        <w:t>一、 投标函格式</w:t>
      </w:r>
    </w:p>
    <w:p w14:paraId="6BD24E90">
      <w:pPr>
        <w:pBdr>
          <w:top w:val="none" w:color="000000" w:sz="0" w:space="0"/>
          <w:left w:val="none" w:color="000000" w:sz="0" w:space="0"/>
          <w:bottom w:val="none" w:color="000000" w:sz="0" w:space="0"/>
          <w:right w:val="none" w:color="000000" w:sz="0" w:space="0"/>
        </w:pBdr>
        <w:spacing w:before="210" w:after="57" w:line="439" w:lineRule="atLeast"/>
        <w:ind w:left="283" w:firstLine="0"/>
      </w:pPr>
      <w:r>
        <w:rPr>
          <w:rFonts w:ascii="宋体" w:hAnsi="宋体" w:cs="宋体"/>
          <w:color w:val="000000"/>
          <w:sz w:val="24"/>
        </w:rPr>
        <w:t>二、 开标一览表</w:t>
      </w:r>
    </w:p>
    <w:p w14:paraId="3576225C">
      <w:pPr>
        <w:pBdr>
          <w:top w:val="none" w:color="000000" w:sz="0" w:space="0"/>
          <w:left w:val="none" w:color="000000" w:sz="0" w:space="0"/>
          <w:bottom w:val="none" w:color="000000" w:sz="0" w:space="0"/>
          <w:right w:val="none" w:color="000000" w:sz="0" w:space="0"/>
        </w:pBdr>
        <w:spacing w:before="210" w:after="57" w:line="439" w:lineRule="atLeast"/>
        <w:ind w:left="283" w:firstLine="0"/>
      </w:pPr>
      <w:r>
        <w:rPr>
          <w:rFonts w:ascii="宋体" w:hAnsi="宋体" w:cs="宋体"/>
          <w:color w:val="000000"/>
          <w:sz w:val="24"/>
        </w:rPr>
        <w:t>三、 资格证明文件</w:t>
      </w:r>
    </w:p>
    <w:p w14:paraId="61DD88CF">
      <w:pPr>
        <w:pBdr>
          <w:top w:val="none" w:color="000000" w:sz="0" w:space="0"/>
          <w:left w:val="none" w:color="000000" w:sz="0" w:space="0"/>
          <w:bottom w:val="none" w:color="000000" w:sz="0" w:space="0"/>
          <w:right w:val="none" w:color="000000" w:sz="0" w:space="0"/>
        </w:pBdr>
        <w:spacing w:before="210" w:after="57" w:line="439" w:lineRule="atLeast"/>
        <w:ind w:left="283" w:firstLine="0"/>
      </w:pPr>
      <w:r>
        <w:rPr>
          <w:rFonts w:ascii="宋体" w:hAnsi="宋体" w:cs="宋体"/>
          <w:color w:val="000000"/>
          <w:sz w:val="24"/>
        </w:rPr>
        <w:t xml:space="preserve">四、 </w:t>
      </w:r>
      <w:r>
        <w:rPr>
          <w:rFonts w:hint="eastAsia" w:ascii="宋体" w:hAnsi="宋体" w:cs="宋体"/>
          <w:color w:val="000000"/>
          <w:sz w:val="24"/>
        </w:rPr>
        <w:t>投标配置及分项报价</w:t>
      </w:r>
      <w:r>
        <w:rPr>
          <w:rFonts w:ascii="宋体" w:hAnsi="宋体" w:cs="宋体"/>
          <w:color w:val="000000"/>
          <w:sz w:val="24"/>
        </w:rPr>
        <w:t>表</w:t>
      </w:r>
    </w:p>
    <w:p w14:paraId="078726DE">
      <w:pPr>
        <w:pBdr>
          <w:top w:val="none" w:color="000000" w:sz="0" w:space="0"/>
          <w:left w:val="none" w:color="000000" w:sz="0" w:space="0"/>
          <w:bottom w:val="none" w:color="000000" w:sz="0" w:space="0"/>
          <w:right w:val="none" w:color="000000" w:sz="0" w:space="0"/>
        </w:pBdr>
        <w:spacing w:before="210" w:after="57" w:line="439" w:lineRule="atLeast"/>
        <w:ind w:left="283" w:firstLine="0"/>
      </w:pPr>
      <w:r>
        <w:rPr>
          <w:rFonts w:hint="eastAsia" w:ascii="宋体" w:hAnsi="宋体" w:cs="宋体"/>
          <w:color w:val="000000"/>
          <w:sz w:val="24"/>
        </w:rPr>
        <w:t>五</w:t>
      </w:r>
      <w:r>
        <w:rPr>
          <w:rFonts w:ascii="宋体" w:hAnsi="宋体" w:cs="宋体"/>
          <w:color w:val="000000"/>
          <w:sz w:val="24"/>
        </w:rPr>
        <w:t xml:space="preserve">、 </w:t>
      </w:r>
      <w:r>
        <w:rPr>
          <w:rFonts w:hint="eastAsia" w:ascii="宋体" w:hAnsi="宋体" w:cs="宋体"/>
          <w:color w:val="000000"/>
          <w:sz w:val="24"/>
        </w:rPr>
        <w:t>常用零配件及耗材报价</w:t>
      </w:r>
      <w:r>
        <w:rPr>
          <w:rFonts w:ascii="宋体" w:hAnsi="宋体" w:cs="宋体"/>
          <w:color w:val="000000"/>
          <w:sz w:val="24"/>
        </w:rPr>
        <w:t>表</w:t>
      </w:r>
    </w:p>
    <w:p w14:paraId="1577B89D">
      <w:pPr>
        <w:pBdr>
          <w:top w:val="none" w:color="000000" w:sz="0" w:space="0"/>
          <w:left w:val="none" w:color="000000" w:sz="0" w:space="0"/>
          <w:bottom w:val="none" w:color="000000" w:sz="0" w:space="0"/>
          <w:right w:val="none" w:color="000000" w:sz="0" w:space="0"/>
        </w:pBdr>
        <w:spacing w:before="210" w:after="57" w:line="439" w:lineRule="atLeast"/>
        <w:ind w:left="283" w:firstLine="0"/>
      </w:pPr>
      <w:r>
        <w:rPr>
          <w:rFonts w:hint="eastAsia" w:ascii="宋体" w:hAnsi="宋体" w:cs="宋体"/>
          <w:color w:val="000000"/>
          <w:sz w:val="24"/>
        </w:rPr>
        <w:t>六</w:t>
      </w:r>
      <w:r>
        <w:rPr>
          <w:rFonts w:ascii="宋体" w:hAnsi="宋体" w:cs="宋体"/>
          <w:color w:val="000000"/>
          <w:sz w:val="24"/>
        </w:rPr>
        <w:t>、 项目需求中实质性要求响应对照表</w:t>
      </w:r>
    </w:p>
    <w:p w14:paraId="0E2ABAFD">
      <w:pPr>
        <w:pBdr>
          <w:top w:val="none" w:color="000000" w:sz="0" w:space="0"/>
          <w:left w:val="none" w:color="000000" w:sz="0" w:space="0"/>
          <w:bottom w:val="none" w:color="000000" w:sz="0" w:space="0"/>
          <w:right w:val="none" w:color="000000" w:sz="0" w:space="0"/>
        </w:pBdr>
        <w:spacing w:before="210" w:after="57" w:line="439" w:lineRule="atLeast"/>
        <w:ind w:left="283" w:firstLine="0"/>
        <w:rPr>
          <w:rFonts w:ascii="宋体" w:hAnsi="宋体" w:cs="宋体"/>
          <w:color w:val="000000"/>
          <w:sz w:val="24"/>
        </w:rPr>
      </w:pPr>
      <w:r>
        <w:rPr>
          <w:rFonts w:hint="eastAsia" w:ascii="宋体" w:hAnsi="宋体" w:cs="宋体"/>
          <w:color w:val="000000"/>
          <w:sz w:val="24"/>
        </w:rPr>
        <w:t>七</w:t>
      </w:r>
      <w:r>
        <w:rPr>
          <w:rFonts w:ascii="宋体" w:hAnsi="宋体" w:cs="宋体"/>
          <w:color w:val="000000"/>
          <w:sz w:val="24"/>
        </w:rPr>
        <w:t xml:space="preserve">、 </w:t>
      </w:r>
      <w:r>
        <w:rPr>
          <w:rFonts w:hint="eastAsia" w:ascii="宋体" w:hAnsi="宋体" w:cs="宋体"/>
          <w:color w:val="000000"/>
          <w:sz w:val="24"/>
        </w:rPr>
        <w:t>技术商务要求响应及偏离表</w:t>
      </w:r>
    </w:p>
    <w:p w14:paraId="2F7B9FF0">
      <w:pPr>
        <w:pBdr>
          <w:top w:val="none" w:color="000000" w:sz="0" w:space="0"/>
          <w:left w:val="none" w:color="000000" w:sz="0" w:space="0"/>
          <w:bottom w:val="none" w:color="000000" w:sz="0" w:space="0"/>
          <w:right w:val="none" w:color="000000" w:sz="0" w:space="0"/>
        </w:pBdr>
        <w:spacing w:before="210" w:after="57" w:line="439" w:lineRule="atLeast"/>
        <w:ind w:left="283" w:firstLine="0"/>
      </w:pPr>
      <w:r>
        <w:rPr>
          <w:rFonts w:hint="eastAsia" w:ascii="宋体" w:hAnsi="宋体" w:cs="宋体"/>
          <w:color w:val="000000"/>
          <w:sz w:val="24"/>
        </w:rPr>
        <w:t xml:space="preserve">八、 </w:t>
      </w:r>
      <w:r>
        <w:rPr>
          <w:rFonts w:ascii="宋体" w:hAnsi="宋体" w:cs="宋体"/>
          <w:color w:val="000000"/>
          <w:sz w:val="24"/>
        </w:rPr>
        <w:t>技术方案、服务方案</w:t>
      </w:r>
    </w:p>
    <w:p w14:paraId="6E6C4301">
      <w:pPr>
        <w:pBdr>
          <w:top w:val="none" w:color="000000" w:sz="0" w:space="0"/>
          <w:left w:val="none" w:color="000000" w:sz="0" w:space="0"/>
          <w:bottom w:val="none" w:color="000000" w:sz="0" w:space="0"/>
          <w:right w:val="none" w:color="000000" w:sz="0" w:space="0"/>
        </w:pBdr>
        <w:spacing w:before="210" w:after="57" w:line="439" w:lineRule="atLeast"/>
        <w:ind w:left="283" w:firstLine="0"/>
        <w:rPr>
          <w:rFonts w:ascii="黑体" w:hAnsi="宋体" w:eastAsia="黑体" w:cs="宋体"/>
          <w:bCs/>
          <w:sz w:val="44"/>
          <w:szCs w:val="44"/>
        </w:rPr>
      </w:pPr>
      <w:r>
        <w:rPr>
          <w:rFonts w:hint="eastAsia" w:ascii="宋体" w:hAnsi="宋体" w:cs="宋体"/>
          <w:color w:val="000000"/>
          <w:sz w:val="24"/>
        </w:rPr>
        <w:t>九</w:t>
      </w:r>
      <w:r>
        <w:rPr>
          <w:rFonts w:ascii="宋体" w:hAnsi="宋体" w:cs="宋体"/>
          <w:color w:val="000000"/>
          <w:sz w:val="24"/>
        </w:rPr>
        <w:t>、 投标人情况介绍</w:t>
      </w:r>
    </w:p>
    <w:p w14:paraId="2ED74E83">
      <w:pPr>
        <w:pageBreakBefore/>
        <w:spacing w:line="480" w:lineRule="exact"/>
        <w:ind w:firstLine="0"/>
        <w:jc w:val="center"/>
        <w:rPr>
          <w:rFonts w:ascii="黑体" w:hAnsi="宋体" w:eastAsia="黑体" w:cs="宋体"/>
          <w:bCs/>
          <w:sz w:val="44"/>
          <w:szCs w:val="44"/>
        </w:rPr>
      </w:pPr>
      <w:bookmarkStart w:id="203" w:name="OLE_LINK14"/>
      <w:r>
        <w:rPr>
          <w:rFonts w:hint="eastAsia" w:ascii="黑体" w:hAnsi="宋体" w:eastAsia="黑体" w:cs="宋体"/>
          <w:bCs/>
          <w:sz w:val="44"/>
          <w:szCs w:val="44"/>
        </w:rPr>
        <w:t>投  标  文  件</w:t>
      </w:r>
    </w:p>
    <w:p w14:paraId="656A1C6F">
      <w:pPr>
        <w:spacing w:line="480" w:lineRule="exact"/>
        <w:ind w:firstLine="0"/>
        <w:jc w:val="center"/>
        <w:rPr>
          <w:rFonts w:ascii="黑体" w:hAnsi="宋体" w:eastAsia="黑体" w:cs="宋体"/>
          <w:bCs/>
          <w:sz w:val="44"/>
          <w:szCs w:val="44"/>
        </w:rPr>
      </w:pPr>
    </w:p>
    <w:p w14:paraId="4C8359A2">
      <w:pPr>
        <w:spacing w:line="480" w:lineRule="exact"/>
        <w:ind w:firstLine="0"/>
        <w:jc w:val="center"/>
        <w:rPr>
          <w:rFonts w:ascii="宋体" w:hAnsi="宋体"/>
          <w:b/>
          <w:bCs/>
          <w:sz w:val="72"/>
          <w:szCs w:val="72"/>
        </w:rPr>
      </w:pPr>
    </w:p>
    <w:p w14:paraId="728E468E">
      <w:pPr>
        <w:spacing w:line="480" w:lineRule="exact"/>
        <w:ind w:firstLine="0"/>
        <w:jc w:val="center"/>
        <w:rPr>
          <w:rFonts w:ascii="宋体" w:hAnsi="宋体"/>
          <w:b/>
          <w:bCs/>
          <w:sz w:val="72"/>
          <w:szCs w:val="72"/>
        </w:rPr>
      </w:pPr>
    </w:p>
    <w:p w14:paraId="7168C9BC">
      <w:pPr>
        <w:spacing w:line="480" w:lineRule="exact"/>
        <w:ind w:firstLine="0"/>
        <w:jc w:val="center"/>
        <w:rPr>
          <w:rFonts w:ascii="宋体" w:hAnsi="宋体"/>
          <w:b/>
          <w:bCs/>
          <w:sz w:val="36"/>
          <w:szCs w:val="36"/>
        </w:rPr>
      </w:pPr>
    </w:p>
    <w:p w14:paraId="40043E6B">
      <w:pPr>
        <w:spacing w:line="480" w:lineRule="exact"/>
        <w:ind w:firstLine="0"/>
        <w:jc w:val="center"/>
        <w:rPr>
          <w:rFonts w:ascii="宋体" w:hAnsi="宋体"/>
          <w:b/>
          <w:bCs/>
          <w:sz w:val="36"/>
          <w:szCs w:val="36"/>
        </w:rPr>
      </w:pPr>
    </w:p>
    <w:p w14:paraId="0D96F304">
      <w:pPr>
        <w:spacing w:line="480" w:lineRule="exact"/>
        <w:ind w:firstLine="0"/>
        <w:jc w:val="center"/>
        <w:rPr>
          <w:rFonts w:ascii="宋体" w:hAnsi="宋体"/>
          <w:b/>
          <w:bCs/>
          <w:sz w:val="36"/>
          <w:szCs w:val="36"/>
        </w:rPr>
      </w:pPr>
    </w:p>
    <w:p w14:paraId="5648DB5E">
      <w:pPr>
        <w:spacing w:line="480" w:lineRule="exact"/>
        <w:ind w:firstLine="0"/>
        <w:jc w:val="center"/>
        <w:rPr>
          <w:rFonts w:ascii="宋体" w:hAnsi="宋体"/>
          <w:b/>
          <w:bCs/>
          <w:sz w:val="36"/>
          <w:szCs w:val="36"/>
          <w:u w:val="single"/>
        </w:rPr>
      </w:pPr>
      <w:r>
        <w:rPr>
          <w:rFonts w:hint="eastAsia" w:ascii="宋体" w:hAnsi="宋体"/>
          <w:b/>
          <w:bCs/>
          <w:sz w:val="36"/>
          <w:szCs w:val="36"/>
        </w:rPr>
        <w:t>项 目 名 称：</w:t>
      </w:r>
    </w:p>
    <w:p w14:paraId="67EAD773">
      <w:pPr>
        <w:spacing w:line="480" w:lineRule="exact"/>
        <w:ind w:firstLine="0"/>
        <w:jc w:val="center"/>
        <w:rPr>
          <w:rFonts w:ascii="宋体" w:hAnsi="宋体"/>
          <w:b/>
          <w:bCs/>
          <w:sz w:val="36"/>
          <w:szCs w:val="36"/>
        </w:rPr>
      </w:pPr>
      <w:r>
        <w:rPr>
          <w:rFonts w:hint="eastAsia" w:ascii="宋体" w:hAnsi="宋体"/>
          <w:b/>
          <w:bCs/>
          <w:sz w:val="36"/>
          <w:szCs w:val="36"/>
        </w:rPr>
        <w:t>招 标 编 号：</w:t>
      </w:r>
    </w:p>
    <w:p w14:paraId="1200909E">
      <w:pPr>
        <w:spacing w:line="480" w:lineRule="exact"/>
        <w:ind w:firstLine="0"/>
        <w:jc w:val="center"/>
        <w:rPr>
          <w:rFonts w:ascii="宋体" w:hAnsi="宋体"/>
          <w:b/>
          <w:bCs/>
          <w:sz w:val="36"/>
          <w:szCs w:val="36"/>
        </w:rPr>
      </w:pPr>
    </w:p>
    <w:p w14:paraId="1EBCB5F0">
      <w:pPr>
        <w:spacing w:line="480" w:lineRule="exact"/>
        <w:ind w:firstLine="0"/>
        <w:jc w:val="center"/>
        <w:rPr>
          <w:rFonts w:ascii="宋体" w:hAnsi="宋体"/>
          <w:b/>
          <w:bCs/>
          <w:sz w:val="36"/>
          <w:szCs w:val="36"/>
        </w:rPr>
      </w:pPr>
    </w:p>
    <w:p w14:paraId="65E6AFF1">
      <w:pPr>
        <w:spacing w:line="480" w:lineRule="exact"/>
        <w:ind w:firstLine="0"/>
        <w:jc w:val="center"/>
        <w:rPr>
          <w:rFonts w:ascii="宋体" w:hAnsi="宋体"/>
          <w:b/>
          <w:bCs/>
          <w:sz w:val="36"/>
          <w:szCs w:val="36"/>
        </w:rPr>
      </w:pPr>
    </w:p>
    <w:p w14:paraId="4BC8B9AD">
      <w:pPr>
        <w:spacing w:line="480" w:lineRule="exact"/>
        <w:ind w:firstLine="0"/>
        <w:jc w:val="center"/>
        <w:rPr>
          <w:rFonts w:ascii="宋体" w:hAnsi="宋体"/>
          <w:b/>
          <w:bCs/>
          <w:sz w:val="36"/>
          <w:szCs w:val="36"/>
        </w:rPr>
      </w:pPr>
    </w:p>
    <w:p w14:paraId="2E767B62">
      <w:pPr>
        <w:spacing w:line="480" w:lineRule="exact"/>
        <w:ind w:firstLine="0"/>
        <w:jc w:val="center"/>
        <w:rPr>
          <w:rFonts w:ascii="宋体" w:hAnsi="宋体"/>
          <w:b/>
          <w:bCs/>
          <w:sz w:val="36"/>
          <w:szCs w:val="36"/>
        </w:rPr>
      </w:pPr>
    </w:p>
    <w:p w14:paraId="0B2E2B17">
      <w:pPr>
        <w:spacing w:line="480" w:lineRule="exact"/>
        <w:ind w:firstLine="0"/>
        <w:jc w:val="center"/>
        <w:rPr>
          <w:rFonts w:ascii="宋体" w:hAnsi="宋体"/>
          <w:b/>
          <w:bCs/>
          <w:sz w:val="36"/>
          <w:szCs w:val="36"/>
        </w:rPr>
      </w:pPr>
    </w:p>
    <w:p w14:paraId="7E8CB5C0">
      <w:pPr>
        <w:spacing w:line="480" w:lineRule="exact"/>
        <w:ind w:firstLine="0"/>
        <w:jc w:val="center"/>
        <w:rPr>
          <w:rFonts w:ascii="宋体" w:hAnsi="宋体"/>
          <w:b/>
          <w:bCs/>
          <w:sz w:val="36"/>
          <w:szCs w:val="36"/>
          <w:u w:val="single"/>
        </w:rPr>
      </w:pPr>
      <w:r>
        <w:rPr>
          <w:rFonts w:hint="eastAsia" w:ascii="宋体" w:hAnsi="宋体"/>
          <w:b/>
          <w:bCs/>
          <w:sz w:val="36"/>
          <w:szCs w:val="36"/>
        </w:rPr>
        <w:t>投标人名称 ：</w:t>
      </w:r>
    </w:p>
    <w:p w14:paraId="67508F54">
      <w:pPr>
        <w:spacing w:line="480" w:lineRule="exact"/>
        <w:ind w:firstLine="0"/>
        <w:jc w:val="center"/>
        <w:rPr>
          <w:rFonts w:ascii="宋体" w:hAnsi="宋体"/>
          <w:b/>
          <w:bCs/>
          <w:sz w:val="36"/>
          <w:szCs w:val="36"/>
          <w:u w:val="single"/>
        </w:rPr>
      </w:pPr>
      <w:r>
        <w:rPr>
          <w:rFonts w:hint="eastAsia" w:ascii="宋体" w:hAnsi="宋体"/>
          <w:b/>
          <w:bCs/>
          <w:sz w:val="36"/>
          <w:szCs w:val="36"/>
        </w:rPr>
        <w:t>日      期 ：</w:t>
      </w:r>
    </w:p>
    <w:bookmarkEnd w:id="203"/>
    <w:p w14:paraId="38A702D2">
      <w:pPr>
        <w:pStyle w:val="2"/>
        <w:spacing w:line="480" w:lineRule="exact"/>
        <w:ind w:firstLine="0"/>
        <w:jc w:val="center"/>
      </w:pPr>
    </w:p>
    <w:p w14:paraId="67DFF7B2">
      <w:pPr>
        <w:pageBreakBefore/>
        <w:ind w:firstLine="0"/>
        <w:jc w:val="center"/>
        <w:outlineLvl w:val="1"/>
        <w:rPr>
          <w:rFonts w:ascii="宋体" w:hAnsi="宋体"/>
          <w:b/>
          <w:bCs/>
          <w:sz w:val="32"/>
          <w:szCs w:val="32"/>
        </w:rPr>
      </w:pPr>
      <w:r>
        <w:rPr>
          <w:rFonts w:hint="eastAsia" w:ascii="宋体" w:hAnsi="宋体"/>
          <w:b/>
          <w:bCs/>
          <w:sz w:val="32"/>
          <w:szCs w:val="32"/>
        </w:rPr>
        <w:t>投标主要文件目录</w:t>
      </w:r>
    </w:p>
    <w:p w14:paraId="5B4733FC">
      <w:pPr>
        <w:ind w:firstLine="0"/>
        <w:jc w:val="center"/>
        <w:rPr>
          <w:rFonts w:ascii="宋体" w:hAnsi="宋体"/>
          <w:b/>
          <w:bCs/>
          <w:sz w:val="32"/>
          <w:szCs w:val="32"/>
        </w:rPr>
      </w:pPr>
    </w:p>
    <w:p w14:paraId="29096B84">
      <w:pPr>
        <w:ind w:firstLine="0"/>
        <w:jc w:val="center"/>
        <w:rPr>
          <w:rFonts w:ascii="宋体" w:hAnsi="宋体"/>
          <w:b/>
          <w:bCs/>
          <w:sz w:val="32"/>
          <w:szCs w:val="32"/>
        </w:rPr>
      </w:pPr>
      <w:r>
        <w:rPr>
          <w:rFonts w:hint="eastAsia" w:ascii="宋体" w:hAnsi="宋体"/>
          <w:b/>
          <w:bCs/>
          <w:sz w:val="32"/>
          <w:szCs w:val="32"/>
        </w:rPr>
        <w:t>（自拟）</w:t>
      </w:r>
    </w:p>
    <w:p w14:paraId="7BE94FDA">
      <w:pPr>
        <w:pStyle w:val="51"/>
        <w:rPr>
          <w:rFonts w:ascii="宋体" w:hAnsi="宋体"/>
          <w:sz w:val="24"/>
        </w:rPr>
      </w:pPr>
    </w:p>
    <w:p w14:paraId="7419936A">
      <w:pPr>
        <w:pageBreakBefore/>
        <w:numPr>
          <w:ilvl w:val="0"/>
          <w:numId w:val="15"/>
        </w:numPr>
        <w:spacing w:before="120" w:after="120"/>
        <w:jc w:val="center"/>
        <w:outlineLvl w:val="1"/>
        <w:rPr>
          <w:rFonts w:ascii="宋体" w:hAnsi="宋体"/>
          <w:b/>
          <w:sz w:val="32"/>
          <w:szCs w:val="32"/>
        </w:rPr>
      </w:pPr>
      <w:r>
        <w:rPr>
          <w:rFonts w:hint="eastAsia" w:ascii="宋体" w:hAnsi="宋体"/>
          <w:b/>
          <w:sz w:val="32"/>
          <w:szCs w:val="32"/>
        </w:rPr>
        <w:t>投标函格式</w:t>
      </w:r>
    </w:p>
    <w:p w14:paraId="49DAF8E6">
      <w:pPr>
        <w:ind w:firstLine="480"/>
        <w:rPr>
          <w:rFonts w:ascii="宋体" w:hAnsi="宋体"/>
          <w:sz w:val="24"/>
        </w:rPr>
      </w:pPr>
    </w:p>
    <w:p w14:paraId="6CD3A584">
      <w:pPr>
        <w:ind w:firstLine="0"/>
        <w:rPr>
          <w:rFonts w:ascii="宋体" w:hAnsi="宋体"/>
          <w:bCs/>
          <w:sz w:val="24"/>
        </w:rPr>
      </w:pPr>
      <w:r>
        <w:rPr>
          <w:rFonts w:hint="eastAsia" w:ascii="宋体" w:hAnsi="宋体"/>
          <w:bCs/>
          <w:sz w:val="24"/>
        </w:rPr>
        <w:t>致：张家港市旭达咨询有限公司：</w:t>
      </w:r>
    </w:p>
    <w:p w14:paraId="74F0CF73">
      <w:pPr>
        <w:widowControl/>
        <w:ind w:firstLine="480"/>
        <w:jc w:val="left"/>
      </w:pPr>
      <w:r>
        <w:rPr>
          <w:rFonts w:hint="eastAsia" w:ascii="宋体" w:hAnsi="宋体" w:cs="宋体"/>
          <w:sz w:val="24"/>
          <w:lang w:bidi="ar"/>
        </w:rPr>
        <w:t>根据贵方的</w:t>
      </w:r>
      <w:r>
        <w:rPr>
          <w:rFonts w:hint="eastAsia" w:ascii="宋体" w:hAnsi="宋体" w:cs="宋体"/>
          <w:sz w:val="24"/>
          <w:u w:val="single"/>
          <w:lang w:bidi="ar"/>
        </w:rPr>
        <w:t xml:space="preserve">   号</w:t>
      </w:r>
      <w:r>
        <w:rPr>
          <w:rFonts w:hint="eastAsia" w:ascii="宋体" w:hAnsi="宋体" w:cs="宋体"/>
          <w:sz w:val="24"/>
          <w:lang w:bidi="ar"/>
        </w:rPr>
        <w:t>招标文件，正式授权下述签字人</w:t>
      </w:r>
      <w:r>
        <w:rPr>
          <w:rFonts w:hint="eastAsia" w:ascii="宋体" w:hAnsi="宋体" w:cs="宋体"/>
          <w:sz w:val="24"/>
          <w:u w:val="single"/>
          <w:lang w:bidi="ar"/>
        </w:rPr>
        <w:t xml:space="preserve">      (姓名和职务)</w:t>
      </w:r>
      <w:r>
        <w:rPr>
          <w:rFonts w:hint="eastAsia" w:ascii="宋体" w:hAnsi="宋体" w:cs="宋体"/>
          <w:sz w:val="24"/>
          <w:lang w:bidi="ar"/>
        </w:rPr>
        <w:t>代表我方</w:t>
      </w:r>
      <w:r>
        <w:rPr>
          <w:rFonts w:hint="eastAsia" w:ascii="宋体" w:hAnsi="宋体" w:cs="宋体"/>
          <w:sz w:val="24"/>
          <w:u w:val="single"/>
          <w:lang w:bidi="ar"/>
        </w:rPr>
        <w:t xml:space="preserve">    （投标人的名称）</w:t>
      </w:r>
      <w:r>
        <w:rPr>
          <w:rFonts w:hint="eastAsia" w:ascii="宋体" w:hAnsi="宋体" w:cs="宋体"/>
          <w:sz w:val="24"/>
          <w:lang w:bidi="ar"/>
        </w:rPr>
        <w:t xml:space="preserve">，全权处理本次项目投标的有关事宜。 </w:t>
      </w:r>
    </w:p>
    <w:p w14:paraId="2441E413">
      <w:pPr>
        <w:widowControl/>
        <w:ind w:firstLine="480"/>
        <w:jc w:val="left"/>
      </w:pPr>
      <w:r>
        <w:rPr>
          <w:rFonts w:hint="eastAsia" w:ascii="宋体" w:hAnsi="宋体" w:cs="宋体"/>
          <w:sz w:val="24"/>
          <w:lang w:bidi="ar"/>
        </w:rPr>
        <w:t xml:space="preserve">据此函，签字人兹宣布同意如下： </w:t>
      </w:r>
    </w:p>
    <w:p w14:paraId="721A2F9E">
      <w:pPr>
        <w:widowControl/>
        <w:ind w:firstLine="480"/>
        <w:jc w:val="left"/>
      </w:pPr>
      <w:r>
        <w:rPr>
          <w:rFonts w:hint="eastAsia" w:ascii="宋体" w:hAnsi="宋体" w:cs="宋体"/>
          <w:sz w:val="24"/>
          <w:lang w:bidi="ar"/>
        </w:rPr>
        <w:t xml:space="preserve">1、同意向贵方提供贵方可能另外要求的与投标有关的任何证据或资料； </w:t>
      </w:r>
    </w:p>
    <w:p w14:paraId="7B9D11CB">
      <w:pPr>
        <w:widowControl/>
        <w:ind w:firstLine="480"/>
        <w:jc w:val="left"/>
      </w:pPr>
      <w:r>
        <w:rPr>
          <w:rFonts w:hint="eastAsia" w:ascii="宋体" w:hAnsi="宋体" w:cs="宋体"/>
          <w:sz w:val="24"/>
          <w:lang w:bidi="ar"/>
        </w:rPr>
        <w:t xml:space="preserve">2、我们完全理解贵方不一定将合同授予最低报价的投标人； </w:t>
      </w:r>
    </w:p>
    <w:p w14:paraId="30B98AB2">
      <w:pPr>
        <w:widowControl/>
        <w:ind w:firstLine="480"/>
        <w:jc w:val="left"/>
      </w:pPr>
      <w:r>
        <w:rPr>
          <w:rFonts w:hint="eastAsia" w:ascii="宋体" w:hAnsi="宋体" w:cs="宋体"/>
          <w:sz w:val="24"/>
          <w:lang w:bidi="ar"/>
        </w:rPr>
        <w:t xml:space="preserve">3、我们已详细审核全部招标文件及其有效补充文件，我们知道必须放弃提出含糊不清或误解问题的权利； </w:t>
      </w:r>
    </w:p>
    <w:p w14:paraId="507E7AAA">
      <w:pPr>
        <w:widowControl/>
        <w:ind w:firstLine="480"/>
        <w:jc w:val="left"/>
      </w:pPr>
      <w:r>
        <w:rPr>
          <w:rFonts w:hint="eastAsia" w:ascii="宋体" w:hAnsi="宋体" w:cs="宋体"/>
          <w:sz w:val="24"/>
          <w:lang w:bidi="ar"/>
        </w:rPr>
        <w:t xml:space="preserve">4、一旦我方中标，我们将根据招标文件的规定，严格履行合同条款的责任和义务，并保证按照合同条款提供服务； </w:t>
      </w:r>
    </w:p>
    <w:p w14:paraId="45EF5646">
      <w:pPr>
        <w:widowControl/>
        <w:ind w:firstLine="480"/>
        <w:jc w:val="left"/>
      </w:pPr>
      <w:r>
        <w:rPr>
          <w:rFonts w:hint="eastAsia" w:ascii="宋体" w:hAnsi="宋体" w:cs="宋体"/>
          <w:sz w:val="24"/>
          <w:lang w:bidi="ar"/>
        </w:rPr>
        <w:t xml:space="preserve">5、与本投标有关的正式通讯地址为： </w:t>
      </w:r>
    </w:p>
    <w:p w14:paraId="26060453">
      <w:pPr>
        <w:widowControl/>
        <w:ind w:firstLine="480"/>
        <w:jc w:val="left"/>
      </w:pPr>
      <w:r>
        <w:rPr>
          <w:rFonts w:hint="eastAsia" w:ascii="宋体" w:hAnsi="宋体" w:cs="宋体"/>
          <w:sz w:val="24"/>
          <w:lang w:bidi="ar"/>
        </w:rPr>
        <w:t xml:space="preserve">地址： </w:t>
      </w:r>
    </w:p>
    <w:p w14:paraId="08019A10">
      <w:pPr>
        <w:widowControl/>
        <w:ind w:firstLine="480"/>
        <w:jc w:val="left"/>
      </w:pPr>
      <w:r>
        <w:rPr>
          <w:rFonts w:hint="eastAsia" w:ascii="宋体" w:hAnsi="宋体" w:cs="宋体"/>
          <w:sz w:val="24"/>
          <w:lang w:bidi="ar"/>
        </w:rPr>
        <w:t xml:space="preserve">邮编： </w:t>
      </w:r>
    </w:p>
    <w:p w14:paraId="5ED1758C">
      <w:pPr>
        <w:widowControl/>
        <w:ind w:firstLine="480"/>
        <w:jc w:val="left"/>
      </w:pPr>
      <w:r>
        <w:rPr>
          <w:rFonts w:hint="eastAsia" w:ascii="宋体" w:hAnsi="宋体" w:cs="宋体"/>
          <w:sz w:val="24"/>
          <w:lang w:bidi="ar"/>
        </w:rPr>
        <w:t xml:space="preserve">电话： </w:t>
      </w:r>
    </w:p>
    <w:p w14:paraId="3B9A1073">
      <w:pPr>
        <w:widowControl/>
        <w:ind w:firstLine="480"/>
        <w:jc w:val="left"/>
      </w:pPr>
      <w:r>
        <w:rPr>
          <w:rFonts w:hint="eastAsia" w:ascii="宋体" w:hAnsi="宋体" w:cs="宋体"/>
          <w:sz w:val="24"/>
          <w:lang w:bidi="ar"/>
        </w:rPr>
        <w:t xml:space="preserve">传真： </w:t>
      </w:r>
    </w:p>
    <w:p w14:paraId="0A81AEDC">
      <w:pPr>
        <w:widowControl/>
        <w:ind w:firstLine="480"/>
        <w:jc w:val="left"/>
      </w:pPr>
      <w:r>
        <w:rPr>
          <w:rFonts w:hint="eastAsia" w:ascii="宋体" w:hAnsi="宋体" w:cs="宋体"/>
          <w:sz w:val="24"/>
          <w:lang w:bidi="ar"/>
        </w:rPr>
        <w:t xml:space="preserve">投标单位代表姓名： </w:t>
      </w:r>
    </w:p>
    <w:p w14:paraId="728C42A3">
      <w:pPr>
        <w:widowControl/>
        <w:ind w:firstLine="480"/>
        <w:jc w:val="left"/>
      </w:pPr>
      <w:r>
        <w:rPr>
          <w:rFonts w:hint="eastAsia" w:ascii="宋体" w:hAnsi="宋体" w:cs="宋体"/>
          <w:sz w:val="24"/>
          <w:lang w:bidi="ar"/>
        </w:rPr>
        <w:t xml:space="preserve">投标单位名称： </w:t>
      </w:r>
    </w:p>
    <w:p w14:paraId="6703CB2F">
      <w:pPr>
        <w:widowControl/>
        <w:ind w:firstLine="480"/>
        <w:jc w:val="left"/>
      </w:pPr>
      <w:r>
        <w:rPr>
          <w:rFonts w:hint="eastAsia" w:ascii="宋体" w:hAnsi="宋体" w:cs="宋体"/>
          <w:sz w:val="24"/>
          <w:lang w:bidi="ar"/>
        </w:rPr>
        <w:t xml:space="preserve">公章： </w:t>
      </w:r>
    </w:p>
    <w:p w14:paraId="41C2370E">
      <w:pPr>
        <w:widowControl/>
        <w:ind w:firstLine="480"/>
        <w:jc w:val="left"/>
      </w:pPr>
      <w:r>
        <w:rPr>
          <w:rFonts w:hint="eastAsia" w:ascii="宋体" w:hAnsi="宋体" w:cs="宋体"/>
          <w:sz w:val="24"/>
          <w:lang w:bidi="ar"/>
        </w:rPr>
        <w:t>日期：</w:t>
      </w:r>
    </w:p>
    <w:p w14:paraId="0E118400">
      <w:pPr>
        <w:ind w:firstLine="480"/>
        <w:rPr>
          <w:rFonts w:ascii="仿宋_GB2312" w:eastAsia="仿宋_GB2312"/>
          <w:bCs/>
          <w:sz w:val="24"/>
        </w:rPr>
      </w:pPr>
    </w:p>
    <w:p w14:paraId="674C768F">
      <w:pPr>
        <w:ind w:firstLine="480"/>
        <w:rPr>
          <w:rFonts w:ascii="仿宋_GB2312" w:eastAsia="仿宋_GB2312"/>
          <w:bCs/>
          <w:sz w:val="24"/>
        </w:rPr>
      </w:pPr>
    </w:p>
    <w:p w14:paraId="3DABA15B">
      <w:pPr>
        <w:pStyle w:val="2"/>
        <w:ind w:firstLine="0"/>
      </w:pPr>
    </w:p>
    <w:p w14:paraId="1F55CE11">
      <w:pPr>
        <w:ind w:firstLine="2570"/>
        <w:jc w:val="left"/>
        <w:rPr>
          <w:rFonts w:ascii="宋体" w:hAnsi="宋体"/>
          <w:b/>
          <w:bCs/>
          <w:sz w:val="32"/>
          <w:szCs w:val="32"/>
        </w:rPr>
      </w:pPr>
    </w:p>
    <w:p w14:paraId="3DBEA4D6">
      <w:pPr>
        <w:ind w:firstLine="2570"/>
        <w:jc w:val="left"/>
        <w:rPr>
          <w:rFonts w:ascii="宋体" w:hAnsi="宋体"/>
          <w:b/>
          <w:bCs/>
          <w:sz w:val="32"/>
          <w:szCs w:val="32"/>
        </w:rPr>
      </w:pPr>
    </w:p>
    <w:p w14:paraId="5CC26D1B">
      <w:pPr>
        <w:ind w:firstLine="2570"/>
        <w:jc w:val="left"/>
        <w:rPr>
          <w:rFonts w:ascii="宋体" w:hAnsi="宋体"/>
          <w:b/>
          <w:bCs/>
          <w:sz w:val="32"/>
          <w:szCs w:val="32"/>
        </w:rPr>
      </w:pPr>
    </w:p>
    <w:p w14:paraId="1ACC9CBA">
      <w:pPr>
        <w:ind w:firstLine="2570"/>
        <w:jc w:val="left"/>
        <w:rPr>
          <w:rFonts w:ascii="宋体" w:hAnsi="宋体"/>
          <w:b/>
          <w:bCs/>
          <w:sz w:val="32"/>
          <w:szCs w:val="32"/>
        </w:rPr>
      </w:pPr>
    </w:p>
    <w:p w14:paraId="0DD57174">
      <w:pPr>
        <w:ind w:firstLine="2570"/>
        <w:jc w:val="left"/>
        <w:rPr>
          <w:rFonts w:ascii="宋体" w:hAnsi="宋体"/>
          <w:b/>
          <w:bCs/>
          <w:sz w:val="32"/>
          <w:szCs w:val="32"/>
        </w:rPr>
      </w:pPr>
    </w:p>
    <w:p w14:paraId="641EEFA7">
      <w:pPr>
        <w:pageBreakBefore/>
        <w:numPr>
          <w:ilvl w:val="0"/>
          <w:numId w:val="15"/>
        </w:numPr>
        <w:spacing w:before="120" w:after="120"/>
        <w:jc w:val="center"/>
        <w:outlineLvl w:val="1"/>
        <w:rPr>
          <w:rFonts w:ascii="宋体" w:hAnsi="宋体"/>
          <w:b/>
          <w:bCs/>
          <w:sz w:val="32"/>
          <w:szCs w:val="32"/>
        </w:rPr>
      </w:pPr>
      <w:r>
        <w:rPr>
          <w:rFonts w:hint="eastAsia" w:ascii="宋体" w:hAnsi="宋体"/>
          <w:b/>
          <w:sz w:val="32"/>
          <w:szCs w:val="32"/>
        </w:rPr>
        <w:t>开 标</w:t>
      </w:r>
      <w:r>
        <w:rPr>
          <w:rFonts w:hint="eastAsia" w:ascii="宋体" w:hAnsi="宋体"/>
          <w:b/>
          <w:bCs/>
          <w:sz w:val="32"/>
          <w:szCs w:val="32"/>
        </w:rPr>
        <w:t xml:space="preserve"> 一 览 表</w:t>
      </w:r>
    </w:p>
    <w:p w14:paraId="4F7C402A">
      <w:pPr>
        <w:ind w:firstLine="2731"/>
        <w:rPr>
          <w:rFonts w:ascii="宋体" w:hAnsi="宋体"/>
          <w:b/>
          <w:bCs/>
          <w:sz w:val="32"/>
          <w:szCs w:val="32"/>
        </w:rPr>
      </w:pPr>
    </w:p>
    <w:p w14:paraId="2A9B4695">
      <w:pPr>
        <w:pStyle w:val="34"/>
        <w:widowControl/>
      </w:pPr>
      <w:r>
        <w:t>投标人全称（加盖公章）：</w:t>
      </w:r>
    </w:p>
    <w:p w14:paraId="33F667EB">
      <w:pPr>
        <w:pStyle w:val="34"/>
        <w:widowControl/>
      </w:pPr>
      <w:r>
        <w:t>项目编号：</w:t>
      </w:r>
    </w:p>
    <w:p w14:paraId="3440A70A">
      <w:pPr>
        <w:pStyle w:val="34"/>
        <w:widowControl/>
      </w:pPr>
      <w:r>
        <w:t>分包号：</w:t>
      </w:r>
    </w:p>
    <w:tbl>
      <w:tblPr>
        <w:tblStyle w:val="37"/>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Layout w:type="autofit"/>
        <w:tblCellMar>
          <w:top w:w="15" w:type="dxa"/>
          <w:left w:w="15" w:type="dxa"/>
          <w:bottom w:w="15" w:type="dxa"/>
          <w:right w:w="15" w:type="dxa"/>
        </w:tblCellMar>
      </w:tblPr>
      <w:tblGrid>
        <w:gridCol w:w="4394"/>
        <w:gridCol w:w="5364"/>
      </w:tblGrid>
      <w:tr w14:paraId="37C3A0C8">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556" w:hRule="atLeast"/>
        </w:trPr>
        <w:tc>
          <w:tcPr>
            <w:tcW w:w="2198" w:type="pct"/>
            <w:tcBorders>
              <w:top w:val="single" w:color="000000" w:sz="6" w:space="0"/>
              <w:left w:val="single" w:color="000000" w:sz="6" w:space="0"/>
              <w:bottom w:val="single" w:color="000000" w:sz="6" w:space="0"/>
              <w:right w:val="single" w:color="000000" w:sz="6" w:space="0"/>
            </w:tcBorders>
            <w:vAlign w:val="center"/>
          </w:tcPr>
          <w:p w14:paraId="7074CA65">
            <w:pPr>
              <w:widowControl/>
              <w:jc w:val="left"/>
            </w:pPr>
            <w:r>
              <w:rPr>
                <w:rFonts w:ascii="宋体" w:hAnsi="宋体" w:cs="宋体"/>
                <w:sz w:val="24"/>
                <w:lang w:bidi="ar"/>
              </w:rPr>
              <w:t>项目名称</w:t>
            </w:r>
          </w:p>
        </w:tc>
        <w:tc>
          <w:tcPr>
            <w:tcW w:w="2683" w:type="pct"/>
            <w:tcBorders>
              <w:top w:val="single" w:color="000000" w:sz="6" w:space="0"/>
              <w:left w:val="single" w:color="000000" w:sz="6" w:space="0"/>
              <w:bottom w:val="single" w:color="000000" w:sz="6" w:space="0"/>
              <w:right w:val="single" w:color="000000" w:sz="6" w:space="0"/>
            </w:tcBorders>
            <w:vAlign w:val="center"/>
          </w:tcPr>
          <w:p w14:paraId="085EB1D0">
            <w:pPr>
              <w:widowControl/>
              <w:jc w:val="left"/>
            </w:pPr>
            <w:r>
              <w:rPr>
                <w:rFonts w:ascii="宋体" w:hAnsi="宋体" w:cs="宋体"/>
                <w:sz w:val="24"/>
                <w:lang w:bidi="ar"/>
              </w:rPr>
              <w:t>投标总报价</w:t>
            </w:r>
          </w:p>
        </w:tc>
      </w:tr>
      <w:tr w14:paraId="6028B696">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556" w:hRule="atLeast"/>
        </w:trPr>
        <w:tc>
          <w:tcPr>
            <w:tcW w:w="2198" w:type="pct"/>
            <w:tcBorders>
              <w:top w:val="single" w:color="000000" w:sz="6" w:space="0"/>
              <w:left w:val="single" w:color="000000" w:sz="6" w:space="0"/>
              <w:bottom w:val="single" w:color="000000" w:sz="6" w:space="0"/>
              <w:right w:val="single" w:color="000000" w:sz="6" w:space="0"/>
            </w:tcBorders>
            <w:vAlign w:val="center"/>
          </w:tcPr>
          <w:p w14:paraId="59464708">
            <w:pPr>
              <w:widowControl/>
              <w:jc w:val="left"/>
            </w:pPr>
          </w:p>
        </w:tc>
        <w:tc>
          <w:tcPr>
            <w:tcW w:w="2683" w:type="pct"/>
            <w:tcBorders>
              <w:top w:val="single" w:color="000000" w:sz="6" w:space="0"/>
              <w:left w:val="single" w:color="000000" w:sz="6" w:space="0"/>
              <w:bottom w:val="single" w:color="000000" w:sz="6" w:space="0"/>
              <w:right w:val="single" w:color="000000" w:sz="6" w:space="0"/>
            </w:tcBorders>
            <w:vAlign w:val="center"/>
          </w:tcPr>
          <w:p w14:paraId="2932DE56">
            <w:pPr>
              <w:widowControl/>
              <w:jc w:val="left"/>
            </w:pPr>
            <w:r>
              <w:rPr>
                <w:rFonts w:ascii="宋体" w:hAnsi="宋体" w:cs="宋体"/>
                <w:sz w:val="24"/>
                <w:lang w:bidi="ar"/>
              </w:rPr>
              <w:t>小写：</w:t>
            </w:r>
            <w:r>
              <w:rPr>
                <w:rFonts w:hint="eastAsia" w:ascii="宋体" w:hAnsi="宋体" w:cs="宋体"/>
                <w:sz w:val="24"/>
                <w:lang w:bidi="ar"/>
              </w:rPr>
              <w:t xml:space="preserve">             </w:t>
            </w:r>
            <w:r>
              <w:rPr>
                <w:rFonts w:ascii="宋体" w:hAnsi="宋体" w:cs="宋体"/>
                <w:sz w:val="24"/>
                <w:lang w:bidi="ar"/>
              </w:rPr>
              <w:t xml:space="preserve"> （元人民币）</w:t>
            </w:r>
          </w:p>
        </w:tc>
      </w:tr>
      <w:tr w14:paraId="11395EE4">
        <w:tblPrEx>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tblCellMar>
            <w:top w:w="15" w:type="dxa"/>
            <w:left w:w="15" w:type="dxa"/>
            <w:bottom w:w="15" w:type="dxa"/>
            <w:right w:w="15" w:type="dxa"/>
          </w:tblCellMar>
        </w:tblPrEx>
        <w:trPr>
          <w:trHeight w:val="556" w:hRule="atLeast"/>
        </w:trPr>
        <w:tc>
          <w:tcPr>
            <w:tcW w:w="2198" w:type="pct"/>
            <w:tcBorders>
              <w:top w:val="single" w:color="000000" w:sz="6" w:space="0"/>
              <w:left w:val="single" w:color="000000" w:sz="6" w:space="0"/>
              <w:bottom w:val="single" w:color="000000" w:sz="6" w:space="0"/>
              <w:right w:val="single" w:color="000000" w:sz="6" w:space="0"/>
            </w:tcBorders>
            <w:vAlign w:val="center"/>
          </w:tcPr>
          <w:p w14:paraId="7CE7D05D">
            <w:pPr>
              <w:widowControl/>
              <w:jc w:val="left"/>
            </w:pPr>
            <w:r>
              <w:rPr>
                <w:rFonts w:ascii="宋体" w:hAnsi="宋体" w:cs="宋体"/>
                <w:sz w:val="24"/>
                <w:lang w:bidi="ar"/>
              </w:rPr>
              <w:t>投标报价大写金额</w:t>
            </w:r>
          </w:p>
        </w:tc>
        <w:tc>
          <w:tcPr>
            <w:tcW w:w="2683" w:type="pct"/>
            <w:tcBorders>
              <w:top w:val="single" w:color="000000" w:sz="6" w:space="0"/>
              <w:left w:val="single" w:color="000000" w:sz="6" w:space="0"/>
              <w:bottom w:val="single" w:color="000000" w:sz="6" w:space="0"/>
              <w:right w:val="single" w:color="000000" w:sz="6" w:space="0"/>
            </w:tcBorders>
            <w:vAlign w:val="center"/>
          </w:tcPr>
          <w:p w14:paraId="22312D5B">
            <w:pPr>
              <w:widowControl/>
              <w:jc w:val="left"/>
            </w:pPr>
            <w:r>
              <w:rPr>
                <w:rFonts w:ascii="宋体" w:hAnsi="宋体" w:cs="宋体"/>
                <w:sz w:val="24"/>
                <w:lang w:bidi="ar"/>
              </w:rPr>
              <w:t>金额大写 </w:t>
            </w:r>
          </w:p>
        </w:tc>
      </w:tr>
    </w:tbl>
    <w:p w14:paraId="0D1127DC">
      <w:pPr>
        <w:pStyle w:val="34"/>
        <w:widowControl/>
        <w:jc w:val="right"/>
      </w:pPr>
      <w:r>
        <w:t>日期：</w:t>
      </w:r>
      <w:r>
        <w:rPr>
          <w:rFonts w:hint="eastAsia"/>
        </w:rPr>
        <w:t xml:space="preserve">      </w:t>
      </w:r>
      <w:r>
        <w:t xml:space="preserve"> 年 </w:t>
      </w:r>
      <w:r>
        <w:rPr>
          <w:rFonts w:hint="eastAsia"/>
        </w:rPr>
        <w:t xml:space="preserve">      </w:t>
      </w:r>
      <w:r>
        <w:t xml:space="preserve">月 </w:t>
      </w:r>
      <w:r>
        <w:rPr>
          <w:rFonts w:hint="eastAsia"/>
        </w:rPr>
        <w:t xml:space="preserve">      </w:t>
      </w:r>
      <w:r>
        <w:t>日</w:t>
      </w:r>
    </w:p>
    <w:p w14:paraId="08D86A78">
      <w:pPr>
        <w:pStyle w:val="34"/>
        <w:widowControl/>
        <w:spacing w:line="240" w:lineRule="exact"/>
        <w:ind w:firstLine="198"/>
      </w:pPr>
      <w:r>
        <w:t>填写说明：</w:t>
      </w:r>
    </w:p>
    <w:p w14:paraId="658AC563">
      <w:pPr>
        <w:pStyle w:val="34"/>
        <w:widowControl/>
        <w:spacing w:line="240" w:lineRule="exact"/>
        <w:ind w:firstLine="198"/>
      </w:pPr>
      <w:r>
        <w:rPr>
          <w:rStyle w:val="43"/>
          <w:u w:val="single"/>
        </w:rPr>
        <w:t>1、开标一览表必须加盖投标人公章（复印件无效）。</w:t>
      </w:r>
    </w:p>
    <w:p w14:paraId="26A6CD89">
      <w:pPr>
        <w:pStyle w:val="34"/>
        <w:widowControl/>
        <w:spacing w:line="240" w:lineRule="exact"/>
        <w:ind w:firstLine="198"/>
        <w:rPr>
          <w:rStyle w:val="43"/>
          <w:u w:val="single"/>
        </w:rPr>
      </w:pPr>
      <w:r>
        <w:rPr>
          <w:rStyle w:val="43"/>
          <w:u w:val="single"/>
        </w:rPr>
        <w:t>2、如有分包，投标人投任何一个包的标的，都需单独填写开标一览表。</w:t>
      </w:r>
    </w:p>
    <w:p w14:paraId="20091B8E">
      <w:pPr>
        <w:ind w:right="139" w:firstLine="0"/>
        <w:rPr>
          <w:rFonts w:ascii="宋体" w:hAnsi="宋体" w:cs="宋体"/>
          <w:b/>
          <w:sz w:val="24"/>
        </w:rPr>
      </w:pPr>
      <w:r>
        <w:rPr>
          <w:rFonts w:hint="eastAsia" w:ascii="宋体" w:hAnsi="宋体" w:cs="宋体"/>
          <w:b/>
          <w:sz w:val="24"/>
        </w:rPr>
        <w:t>注：</w:t>
      </w:r>
    </w:p>
    <w:p w14:paraId="2132BBD5">
      <w:pPr>
        <w:numPr>
          <w:ilvl w:val="0"/>
          <w:numId w:val="16"/>
        </w:numPr>
        <w:ind w:firstLine="482"/>
        <w:rPr>
          <w:rFonts w:ascii="宋体" w:hAnsi="宋体" w:cs="宋体"/>
          <w:b/>
          <w:sz w:val="24"/>
        </w:rPr>
      </w:pPr>
      <w:r>
        <w:rPr>
          <w:rFonts w:ascii="宋体" w:hAnsi="宋体" w:cs="宋体"/>
          <w:b/>
          <w:sz w:val="24"/>
        </w:rPr>
        <w:t>总价包括但不限于产品以及相应的附件、备件、配件、包装、税费、运杂（到位）、保险、验收、管理、售后服务、维护、人员培训、税金、政策性文件规定及合同包含的所有风险、责任等各项应有费用。</w:t>
      </w:r>
    </w:p>
    <w:p w14:paraId="7450D4DA">
      <w:pPr>
        <w:numPr>
          <w:ilvl w:val="0"/>
          <w:numId w:val="16"/>
        </w:numPr>
        <w:ind w:firstLine="482"/>
        <w:rPr>
          <w:rFonts w:ascii="宋体" w:hAnsi="宋体" w:cs="宋体"/>
          <w:b/>
          <w:sz w:val="24"/>
        </w:rPr>
      </w:pPr>
      <w:r>
        <w:rPr>
          <w:rFonts w:hint="eastAsia" w:ascii="宋体" w:hAnsi="宋体" w:cs="宋体"/>
          <w:b/>
          <w:sz w:val="24"/>
        </w:rPr>
        <w:t>投标人对招标文件规定的招标报价包含项目不得减少，无论投标人对报价是否有特别说明，均视为所报价格包含了招标文件规定的全部项目价格。招标文件未列明，而投标人认为必需的费用也需列入报价。</w:t>
      </w:r>
    </w:p>
    <w:p w14:paraId="0A95CA0A">
      <w:pPr>
        <w:numPr>
          <w:ilvl w:val="0"/>
          <w:numId w:val="16"/>
        </w:numPr>
        <w:ind w:firstLine="482"/>
        <w:rPr>
          <w:rFonts w:ascii="宋体" w:hAnsi="宋体" w:cs="宋体"/>
          <w:b/>
          <w:sz w:val="24"/>
        </w:rPr>
      </w:pPr>
      <w:r>
        <w:rPr>
          <w:rFonts w:hint="eastAsia" w:ascii="宋体" w:hAnsi="宋体" w:cs="宋体"/>
          <w:b/>
          <w:sz w:val="24"/>
        </w:rPr>
        <w:t>本表中的报价已包括公共责任险（第三者险），中标单位未及时投保所造成的损害责任由中标单位承担。</w:t>
      </w:r>
    </w:p>
    <w:p w14:paraId="1E766136">
      <w:pPr>
        <w:pageBreakBefore/>
        <w:numPr>
          <w:ilvl w:val="0"/>
          <w:numId w:val="15"/>
        </w:numPr>
        <w:spacing w:before="120" w:after="120"/>
        <w:jc w:val="center"/>
        <w:outlineLvl w:val="1"/>
        <w:rPr>
          <w:rFonts w:ascii="宋体" w:hAnsi="宋体"/>
          <w:b/>
          <w:bCs/>
          <w:sz w:val="32"/>
          <w:szCs w:val="32"/>
        </w:rPr>
      </w:pPr>
      <w:r>
        <w:rPr>
          <w:rFonts w:hint="eastAsia" w:ascii="宋体" w:hAnsi="宋体"/>
          <w:b/>
          <w:bCs/>
          <w:sz w:val="32"/>
          <w:szCs w:val="32"/>
        </w:rPr>
        <w:t>资格</w:t>
      </w:r>
      <w:r>
        <w:rPr>
          <w:rFonts w:hint="eastAsia" w:ascii="宋体" w:hAnsi="宋体"/>
          <w:b/>
          <w:sz w:val="32"/>
          <w:szCs w:val="32"/>
        </w:rPr>
        <w:t>证明</w:t>
      </w:r>
      <w:r>
        <w:rPr>
          <w:rFonts w:hint="eastAsia" w:ascii="宋体" w:hAnsi="宋体"/>
          <w:b/>
          <w:bCs/>
          <w:sz w:val="32"/>
          <w:szCs w:val="32"/>
        </w:rPr>
        <w:t>文件</w:t>
      </w:r>
    </w:p>
    <w:p w14:paraId="034B3A1D">
      <w:pPr>
        <w:pStyle w:val="243"/>
        <w:numPr>
          <w:ilvl w:val="0"/>
          <w:numId w:val="0"/>
        </w:numPr>
        <w:rPr>
          <w:b/>
          <w:bCs/>
          <w:sz w:val="24"/>
          <w:szCs w:val="24"/>
        </w:rPr>
      </w:pPr>
      <w:r>
        <w:rPr>
          <w:b/>
          <w:bCs/>
          <w:sz w:val="24"/>
          <w:szCs w:val="24"/>
        </w:rPr>
        <w:t>投标人必须在投标文件接收截止时间之前递交以下资格证明文件：</w:t>
      </w:r>
    </w:p>
    <w:p w14:paraId="40C3C28F">
      <w:pPr>
        <w:pStyle w:val="283"/>
        <w:rPr>
          <w:rFonts w:ascii="宋体" w:hAnsi="宋体" w:eastAsia="宋体" w:cs="宋体"/>
          <w:b/>
          <w:color w:val="000000"/>
          <w:sz w:val="28"/>
        </w:rPr>
      </w:pPr>
    </w:p>
    <w:p w14:paraId="1C6D2D4C">
      <w:pPr>
        <w:pStyle w:val="243"/>
        <w:numPr>
          <w:ilvl w:val="0"/>
          <w:numId w:val="17"/>
        </w:numPr>
        <w:ind w:left="0" w:firstLine="482"/>
        <w:rPr>
          <w:b/>
          <w:bCs/>
          <w:sz w:val="24"/>
          <w:szCs w:val="24"/>
        </w:rPr>
      </w:pPr>
      <w:r>
        <w:rPr>
          <w:rFonts w:hint="eastAsia"/>
          <w:b/>
          <w:bCs/>
          <w:sz w:val="24"/>
          <w:szCs w:val="24"/>
        </w:rPr>
        <w:t xml:space="preserve"> </w:t>
      </w:r>
      <w:r>
        <w:rPr>
          <w:rFonts w:hint="eastAsia"/>
          <w:b/>
          <w:sz w:val="32"/>
          <w:szCs w:val="32"/>
        </w:rPr>
        <w:t>法人或者其他组织的营业执照等证明文件，自然人的身份证明</w:t>
      </w:r>
    </w:p>
    <w:p w14:paraId="6F4347BD">
      <w:pPr>
        <w:pStyle w:val="284"/>
        <w:spacing w:line="440" w:lineRule="exact"/>
        <w:rPr>
          <w:spacing w:val="7"/>
        </w:rPr>
      </w:pPr>
      <w:r>
        <w:rPr>
          <w:color w:val="000000"/>
        </w:rPr>
        <w:t xml:space="preserve">﻿ </w:t>
      </w:r>
    </w:p>
    <w:p w14:paraId="20F7CFEF">
      <w:pPr>
        <w:pStyle w:val="284"/>
        <w:spacing w:before="240" w:after="240"/>
      </w:pPr>
      <w:r>
        <w:rPr>
          <w:color w:val="000000"/>
        </w:rPr>
        <w:t>  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488AC56">
      <w:pPr>
        <w:pStyle w:val="243"/>
        <w:numPr>
          <w:ilvl w:val="0"/>
          <w:numId w:val="0"/>
        </w:numPr>
        <w:rPr>
          <w:b/>
          <w:bCs/>
          <w:sz w:val="24"/>
          <w:szCs w:val="24"/>
        </w:rPr>
      </w:pPr>
    </w:p>
    <w:p w14:paraId="6013C7BA">
      <w:pPr>
        <w:pStyle w:val="243"/>
        <w:numPr>
          <w:ilvl w:val="0"/>
          <w:numId w:val="0"/>
        </w:numPr>
        <w:rPr>
          <w:b/>
          <w:bCs/>
          <w:sz w:val="24"/>
          <w:szCs w:val="24"/>
        </w:rPr>
      </w:pPr>
    </w:p>
    <w:p w14:paraId="26F33940">
      <w:pPr>
        <w:pStyle w:val="243"/>
        <w:numPr>
          <w:ilvl w:val="0"/>
          <w:numId w:val="0"/>
        </w:numPr>
        <w:rPr>
          <w:b/>
          <w:bCs/>
          <w:sz w:val="24"/>
          <w:szCs w:val="24"/>
        </w:rPr>
      </w:pPr>
    </w:p>
    <w:p w14:paraId="04FB88B2">
      <w:pPr>
        <w:pStyle w:val="243"/>
        <w:numPr>
          <w:ilvl w:val="0"/>
          <w:numId w:val="0"/>
        </w:numPr>
        <w:rPr>
          <w:b/>
          <w:bCs/>
          <w:sz w:val="24"/>
          <w:szCs w:val="24"/>
        </w:rPr>
      </w:pPr>
    </w:p>
    <w:p w14:paraId="2F44C8A0">
      <w:pPr>
        <w:pStyle w:val="243"/>
        <w:numPr>
          <w:ilvl w:val="0"/>
          <w:numId w:val="0"/>
        </w:numPr>
        <w:rPr>
          <w:b/>
          <w:bCs/>
          <w:sz w:val="24"/>
          <w:szCs w:val="24"/>
        </w:rPr>
      </w:pPr>
    </w:p>
    <w:p w14:paraId="5C6FF642">
      <w:pPr>
        <w:pStyle w:val="243"/>
        <w:numPr>
          <w:ilvl w:val="0"/>
          <w:numId w:val="0"/>
        </w:numPr>
        <w:rPr>
          <w:b/>
          <w:bCs/>
          <w:sz w:val="24"/>
          <w:szCs w:val="24"/>
        </w:rPr>
      </w:pPr>
    </w:p>
    <w:p w14:paraId="153105A6">
      <w:pPr>
        <w:pStyle w:val="243"/>
        <w:numPr>
          <w:ilvl w:val="0"/>
          <w:numId w:val="0"/>
        </w:numPr>
        <w:rPr>
          <w:b/>
          <w:bCs/>
          <w:sz w:val="24"/>
          <w:szCs w:val="24"/>
        </w:rPr>
      </w:pPr>
    </w:p>
    <w:p w14:paraId="08D7BA3D">
      <w:pPr>
        <w:pStyle w:val="243"/>
        <w:numPr>
          <w:ilvl w:val="0"/>
          <w:numId w:val="0"/>
        </w:numPr>
        <w:rPr>
          <w:b/>
          <w:bCs/>
          <w:sz w:val="24"/>
          <w:szCs w:val="24"/>
        </w:rPr>
      </w:pPr>
    </w:p>
    <w:p w14:paraId="128AEABD">
      <w:pPr>
        <w:pStyle w:val="243"/>
        <w:numPr>
          <w:ilvl w:val="0"/>
          <w:numId w:val="0"/>
        </w:numPr>
        <w:rPr>
          <w:b/>
          <w:bCs/>
          <w:sz w:val="24"/>
          <w:szCs w:val="24"/>
        </w:rPr>
      </w:pPr>
    </w:p>
    <w:p w14:paraId="419E44C1">
      <w:pPr>
        <w:pStyle w:val="243"/>
        <w:numPr>
          <w:ilvl w:val="0"/>
          <w:numId w:val="0"/>
        </w:numPr>
        <w:rPr>
          <w:b/>
          <w:bCs/>
          <w:sz w:val="24"/>
          <w:szCs w:val="24"/>
        </w:rPr>
      </w:pPr>
    </w:p>
    <w:p w14:paraId="195C975B">
      <w:pPr>
        <w:pStyle w:val="243"/>
        <w:numPr>
          <w:ilvl w:val="0"/>
          <w:numId w:val="0"/>
        </w:numPr>
        <w:rPr>
          <w:b/>
          <w:bCs/>
          <w:sz w:val="24"/>
          <w:szCs w:val="24"/>
        </w:rPr>
      </w:pPr>
    </w:p>
    <w:p w14:paraId="0B96CE86">
      <w:pPr>
        <w:pStyle w:val="243"/>
        <w:numPr>
          <w:ilvl w:val="0"/>
          <w:numId w:val="0"/>
        </w:numPr>
        <w:rPr>
          <w:b/>
          <w:bCs/>
          <w:sz w:val="24"/>
          <w:szCs w:val="24"/>
        </w:rPr>
      </w:pPr>
    </w:p>
    <w:p w14:paraId="1151D535">
      <w:pPr>
        <w:pStyle w:val="243"/>
        <w:numPr>
          <w:ilvl w:val="0"/>
          <w:numId w:val="0"/>
        </w:numPr>
        <w:rPr>
          <w:b/>
          <w:bCs/>
          <w:sz w:val="24"/>
          <w:szCs w:val="24"/>
        </w:rPr>
      </w:pPr>
    </w:p>
    <w:p w14:paraId="622C92F6">
      <w:pPr>
        <w:pStyle w:val="243"/>
        <w:numPr>
          <w:ilvl w:val="0"/>
          <w:numId w:val="0"/>
        </w:numPr>
        <w:rPr>
          <w:b/>
          <w:bCs/>
          <w:sz w:val="24"/>
          <w:szCs w:val="24"/>
        </w:rPr>
      </w:pPr>
    </w:p>
    <w:p w14:paraId="1C860606">
      <w:pPr>
        <w:pStyle w:val="243"/>
        <w:pageBreakBefore/>
        <w:numPr>
          <w:ilvl w:val="0"/>
          <w:numId w:val="17"/>
        </w:numPr>
        <w:ind w:left="0" w:firstLine="0"/>
        <w:jc w:val="center"/>
        <w:rPr>
          <w:b/>
          <w:sz w:val="32"/>
          <w:szCs w:val="32"/>
        </w:rPr>
      </w:pPr>
      <w:r>
        <w:rPr>
          <w:rFonts w:hint="eastAsia"/>
          <w:b/>
          <w:sz w:val="32"/>
          <w:szCs w:val="32"/>
        </w:rPr>
        <w:t>财务状况报告（成立不满一年不需要提供）；</w:t>
      </w:r>
    </w:p>
    <w:p w14:paraId="3B09E72B">
      <w:pPr>
        <w:pStyle w:val="243"/>
        <w:numPr>
          <w:ilvl w:val="0"/>
          <w:numId w:val="0"/>
        </w:numPr>
        <w:rPr>
          <w:b/>
          <w:bCs/>
          <w:sz w:val="24"/>
          <w:szCs w:val="24"/>
        </w:rPr>
      </w:pPr>
    </w:p>
    <w:p w14:paraId="76CCAE0A">
      <w:pPr>
        <w:pStyle w:val="285"/>
        <w:spacing w:before="360" w:after="360" w:line="300" w:lineRule="auto"/>
        <w:jc w:val="center"/>
        <w:rPr>
          <w:rFonts w:ascii="黑体" w:hAnsi="黑体" w:eastAsia="黑体" w:cs="黑体"/>
          <w:b/>
          <w:bCs/>
          <w:sz w:val="36"/>
          <w:szCs w:val="36"/>
        </w:rPr>
      </w:pPr>
      <w:r>
        <w:rPr>
          <w:rFonts w:ascii="黑体" w:hAnsi="黑体" w:eastAsia="黑体" w:cs="黑体"/>
          <w:b/>
          <w:bCs/>
          <w:color w:val="000000"/>
          <w:sz w:val="36"/>
          <w:szCs w:val="36"/>
        </w:rPr>
        <w:t>财务状况</w:t>
      </w:r>
      <w:r>
        <w:rPr>
          <w:rFonts w:hint="eastAsia" w:ascii="黑体" w:hAnsi="黑体" w:eastAsia="黑体" w:cs="黑体"/>
          <w:b/>
          <w:bCs/>
          <w:color w:val="000000"/>
          <w:sz w:val="36"/>
          <w:szCs w:val="36"/>
        </w:rPr>
        <w:t>报告</w:t>
      </w:r>
    </w:p>
    <w:p w14:paraId="6ADB8FFC">
      <w:pPr>
        <w:pStyle w:val="243"/>
        <w:numPr>
          <w:ilvl w:val="0"/>
          <w:numId w:val="0"/>
        </w:numPr>
        <w:rPr>
          <w:b/>
          <w:bCs/>
          <w:sz w:val="24"/>
          <w:szCs w:val="24"/>
        </w:rPr>
      </w:pPr>
    </w:p>
    <w:p w14:paraId="04678AC1">
      <w:pPr>
        <w:pStyle w:val="243"/>
        <w:numPr>
          <w:ilvl w:val="0"/>
          <w:numId w:val="0"/>
        </w:numPr>
        <w:rPr>
          <w:b/>
          <w:bCs/>
          <w:sz w:val="24"/>
          <w:szCs w:val="24"/>
        </w:rPr>
      </w:pPr>
    </w:p>
    <w:p w14:paraId="3E205B7B">
      <w:pPr>
        <w:pStyle w:val="243"/>
        <w:numPr>
          <w:ilvl w:val="0"/>
          <w:numId w:val="0"/>
        </w:numPr>
        <w:rPr>
          <w:b/>
          <w:bCs/>
          <w:sz w:val="24"/>
          <w:szCs w:val="24"/>
        </w:rPr>
      </w:pPr>
    </w:p>
    <w:p w14:paraId="3332B3F3">
      <w:pPr>
        <w:pStyle w:val="243"/>
        <w:numPr>
          <w:ilvl w:val="0"/>
          <w:numId w:val="0"/>
        </w:numPr>
        <w:rPr>
          <w:b/>
          <w:bCs/>
          <w:sz w:val="24"/>
          <w:szCs w:val="24"/>
        </w:rPr>
      </w:pPr>
    </w:p>
    <w:p w14:paraId="5260783D">
      <w:pPr>
        <w:pStyle w:val="243"/>
        <w:numPr>
          <w:ilvl w:val="0"/>
          <w:numId w:val="0"/>
        </w:numPr>
        <w:rPr>
          <w:b/>
          <w:bCs/>
          <w:sz w:val="24"/>
          <w:szCs w:val="24"/>
        </w:rPr>
      </w:pPr>
    </w:p>
    <w:p w14:paraId="541E0FAF">
      <w:pPr>
        <w:pStyle w:val="243"/>
        <w:numPr>
          <w:ilvl w:val="0"/>
          <w:numId w:val="0"/>
        </w:numPr>
        <w:rPr>
          <w:b/>
          <w:bCs/>
          <w:sz w:val="24"/>
          <w:szCs w:val="24"/>
        </w:rPr>
      </w:pPr>
    </w:p>
    <w:p w14:paraId="6F399D26">
      <w:pPr>
        <w:pStyle w:val="243"/>
        <w:numPr>
          <w:ilvl w:val="0"/>
          <w:numId w:val="0"/>
        </w:numPr>
        <w:rPr>
          <w:b/>
          <w:bCs/>
          <w:sz w:val="24"/>
          <w:szCs w:val="24"/>
        </w:rPr>
      </w:pPr>
    </w:p>
    <w:p w14:paraId="44B5FDFD">
      <w:pPr>
        <w:pStyle w:val="243"/>
        <w:numPr>
          <w:ilvl w:val="0"/>
          <w:numId w:val="0"/>
        </w:numPr>
        <w:rPr>
          <w:b/>
          <w:bCs/>
          <w:sz w:val="24"/>
          <w:szCs w:val="24"/>
        </w:rPr>
      </w:pPr>
    </w:p>
    <w:p w14:paraId="557D8B53">
      <w:pPr>
        <w:pStyle w:val="243"/>
        <w:numPr>
          <w:ilvl w:val="0"/>
          <w:numId w:val="0"/>
        </w:numPr>
        <w:rPr>
          <w:b/>
          <w:bCs/>
          <w:sz w:val="24"/>
          <w:szCs w:val="24"/>
        </w:rPr>
      </w:pPr>
    </w:p>
    <w:p w14:paraId="12F3E902">
      <w:pPr>
        <w:pStyle w:val="243"/>
        <w:numPr>
          <w:ilvl w:val="0"/>
          <w:numId w:val="0"/>
        </w:numPr>
        <w:rPr>
          <w:b/>
          <w:bCs/>
          <w:sz w:val="24"/>
          <w:szCs w:val="24"/>
        </w:rPr>
      </w:pPr>
    </w:p>
    <w:p w14:paraId="3E0ECB71">
      <w:pPr>
        <w:pStyle w:val="243"/>
        <w:numPr>
          <w:ilvl w:val="0"/>
          <w:numId w:val="0"/>
        </w:numPr>
        <w:rPr>
          <w:b/>
          <w:bCs/>
          <w:sz w:val="24"/>
          <w:szCs w:val="24"/>
        </w:rPr>
      </w:pPr>
    </w:p>
    <w:p w14:paraId="21F2BE23">
      <w:pPr>
        <w:pStyle w:val="243"/>
        <w:numPr>
          <w:ilvl w:val="0"/>
          <w:numId w:val="0"/>
        </w:numPr>
        <w:rPr>
          <w:b/>
          <w:bCs/>
          <w:sz w:val="24"/>
          <w:szCs w:val="24"/>
        </w:rPr>
      </w:pPr>
    </w:p>
    <w:p w14:paraId="64E227F8">
      <w:pPr>
        <w:pStyle w:val="243"/>
        <w:numPr>
          <w:ilvl w:val="0"/>
          <w:numId w:val="0"/>
        </w:numPr>
        <w:rPr>
          <w:b/>
          <w:bCs/>
          <w:sz w:val="24"/>
          <w:szCs w:val="24"/>
        </w:rPr>
      </w:pPr>
    </w:p>
    <w:p w14:paraId="1560EB22">
      <w:pPr>
        <w:pStyle w:val="243"/>
        <w:numPr>
          <w:ilvl w:val="0"/>
          <w:numId w:val="0"/>
        </w:numPr>
        <w:rPr>
          <w:b/>
          <w:bCs/>
          <w:sz w:val="24"/>
          <w:szCs w:val="24"/>
        </w:rPr>
      </w:pPr>
    </w:p>
    <w:p w14:paraId="46ACCB25">
      <w:pPr>
        <w:pStyle w:val="243"/>
        <w:numPr>
          <w:ilvl w:val="0"/>
          <w:numId w:val="0"/>
        </w:numPr>
        <w:rPr>
          <w:b/>
          <w:bCs/>
          <w:sz w:val="24"/>
          <w:szCs w:val="24"/>
        </w:rPr>
      </w:pPr>
    </w:p>
    <w:p w14:paraId="18107CBE">
      <w:pPr>
        <w:pStyle w:val="243"/>
        <w:numPr>
          <w:ilvl w:val="0"/>
          <w:numId w:val="0"/>
        </w:numPr>
        <w:rPr>
          <w:b/>
          <w:bCs/>
          <w:sz w:val="24"/>
          <w:szCs w:val="24"/>
        </w:rPr>
      </w:pPr>
    </w:p>
    <w:p w14:paraId="0D471FB0">
      <w:pPr>
        <w:pStyle w:val="243"/>
        <w:numPr>
          <w:ilvl w:val="0"/>
          <w:numId w:val="0"/>
        </w:numPr>
        <w:rPr>
          <w:b/>
          <w:bCs/>
          <w:sz w:val="24"/>
          <w:szCs w:val="24"/>
        </w:rPr>
      </w:pPr>
    </w:p>
    <w:p w14:paraId="63AA0B5B">
      <w:pPr>
        <w:pStyle w:val="243"/>
        <w:numPr>
          <w:ilvl w:val="0"/>
          <w:numId w:val="0"/>
        </w:numPr>
        <w:rPr>
          <w:b/>
          <w:bCs/>
          <w:sz w:val="24"/>
          <w:szCs w:val="24"/>
        </w:rPr>
      </w:pPr>
    </w:p>
    <w:p w14:paraId="62AE27DB">
      <w:pPr>
        <w:pStyle w:val="243"/>
        <w:numPr>
          <w:ilvl w:val="0"/>
          <w:numId w:val="0"/>
        </w:numPr>
        <w:rPr>
          <w:b/>
          <w:bCs/>
          <w:sz w:val="24"/>
          <w:szCs w:val="24"/>
        </w:rPr>
      </w:pPr>
    </w:p>
    <w:p w14:paraId="4DE4E535">
      <w:pPr>
        <w:pStyle w:val="243"/>
        <w:numPr>
          <w:ilvl w:val="0"/>
          <w:numId w:val="0"/>
        </w:numPr>
        <w:rPr>
          <w:b/>
          <w:bCs/>
          <w:sz w:val="24"/>
          <w:szCs w:val="24"/>
        </w:rPr>
      </w:pPr>
    </w:p>
    <w:p w14:paraId="328EBED7">
      <w:pPr>
        <w:pStyle w:val="243"/>
        <w:numPr>
          <w:ilvl w:val="0"/>
          <w:numId w:val="0"/>
        </w:numPr>
        <w:rPr>
          <w:b/>
          <w:bCs/>
          <w:sz w:val="24"/>
          <w:szCs w:val="24"/>
        </w:rPr>
      </w:pPr>
    </w:p>
    <w:p w14:paraId="0E548881">
      <w:pPr>
        <w:pStyle w:val="243"/>
        <w:numPr>
          <w:ilvl w:val="0"/>
          <w:numId w:val="0"/>
        </w:numPr>
        <w:rPr>
          <w:b/>
          <w:bCs/>
          <w:sz w:val="24"/>
          <w:szCs w:val="24"/>
        </w:rPr>
      </w:pPr>
    </w:p>
    <w:p w14:paraId="42381F88">
      <w:pPr>
        <w:pStyle w:val="243"/>
        <w:numPr>
          <w:ilvl w:val="0"/>
          <w:numId w:val="0"/>
        </w:numPr>
        <w:rPr>
          <w:b/>
          <w:bCs/>
          <w:sz w:val="24"/>
          <w:szCs w:val="24"/>
        </w:rPr>
      </w:pPr>
    </w:p>
    <w:p w14:paraId="62FC9470">
      <w:pPr>
        <w:pStyle w:val="243"/>
        <w:pageBreakBefore/>
        <w:numPr>
          <w:ilvl w:val="0"/>
          <w:numId w:val="17"/>
        </w:numPr>
        <w:ind w:left="0" w:firstLine="0"/>
        <w:jc w:val="center"/>
        <w:rPr>
          <w:b/>
          <w:sz w:val="32"/>
          <w:szCs w:val="32"/>
        </w:rPr>
      </w:pPr>
      <w:r>
        <w:rPr>
          <w:rFonts w:hint="eastAsia"/>
          <w:b/>
          <w:sz w:val="32"/>
          <w:szCs w:val="32"/>
        </w:rPr>
        <w:t>依法缴纳税收和社会保障资金的相关材料；</w:t>
      </w:r>
    </w:p>
    <w:p w14:paraId="1B5D62D1">
      <w:pPr>
        <w:pStyle w:val="243"/>
        <w:numPr>
          <w:ilvl w:val="0"/>
          <w:numId w:val="0"/>
        </w:numPr>
        <w:rPr>
          <w:b/>
          <w:bCs/>
          <w:sz w:val="24"/>
          <w:szCs w:val="24"/>
        </w:rPr>
      </w:pPr>
    </w:p>
    <w:p w14:paraId="05676F8C">
      <w:pPr>
        <w:pStyle w:val="286"/>
        <w:jc w:val="center"/>
      </w:pPr>
      <w:r>
        <w:rPr>
          <w:rFonts w:hint="eastAsia"/>
          <w:color w:val="000000"/>
        </w:rPr>
        <w:t>依法缴纳税收和社会保障资金的相关材料</w:t>
      </w:r>
    </w:p>
    <w:p w14:paraId="7D148E5F">
      <w:pPr>
        <w:pStyle w:val="243"/>
        <w:numPr>
          <w:ilvl w:val="0"/>
          <w:numId w:val="0"/>
        </w:numPr>
        <w:rPr>
          <w:b/>
          <w:bCs/>
          <w:sz w:val="24"/>
          <w:szCs w:val="24"/>
        </w:rPr>
      </w:pPr>
    </w:p>
    <w:p w14:paraId="697A94DF">
      <w:pPr>
        <w:pStyle w:val="243"/>
        <w:numPr>
          <w:ilvl w:val="0"/>
          <w:numId w:val="0"/>
        </w:numPr>
        <w:rPr>
          <w:b/>
          <w:bCs/>
          <w:sz w:val="24"/>
          <w:szCs w:val="24"/>
        </w:rPr>
      </w:pPr>
    </w:p>
    <w:p w14:paraId="763AB650">
      <w:pPr>
        <w:pStyle w:val="243"/>
        <w:numPr>
          <w:ilvl w:val="0"/>
          <w:numId w:val="0"/>
        </w:numPr>
        <w:rPr>
          <w:b/>
          <w:bCs/>
          <w:sz w:val="24"/>
          <w:szCs w:val="24"/>
        </w:rPr>
      </w:pPr>
    </w:p>
    <w:p w14:paraId="602C57D9">
      <w:pPr>
        <w:pStyle w:val="243"/>
        <w:numPr>
          <w:ilvl w:val="0"/>
          <w:numId w:val="0"/>
        </w:numPr>
        <w:rPr>
          <w:b/>
          <w:bCs/>
          <w:sz w:val="24"/>
          <w:szCs w:val="24"/>
        </w:rPr>
      </w:pPr>
    </w:p>
    <w:p w14:paraId="19DC3FD9">
      <w:pPr>
        <w:pStyle w:val="243"/>
        <w:numPr>
          <w:ilvl w:val="0"/>
          <w:numId w:val="0"/>
        </w:numPr>
        <w:rPr>
          <w:b/>
          <w:bCs/>
          <w:sz w:val="24"/>
          <w:szCs w:val="24"/>
        </w:rPr>
      </w:pPr>
    </w:p>
    <w:p w14:paraId="2F576EF9">
      <w:pPr>
        <w:pStyle w:val="243"/>
        <w:numPr>
          <w:ilvl w:val="0"/>
          <w:numId w:val="0"/>
        </w:numPr>
        <w:rPr>
          <w:b/>
          <w:bCs/>
          <w:sz w:val="24"/>
          <w:szCs w:val="24"/>
        </w:rPr>
      </w:pPr>
    </w:p>
    <w:p w14:paraId="3323CB6A">
      <w:pPr>
        <w:pStyle w:val="243"/>
        <w:numPr>
          <w:ilvl w:val="0"/>
          <w:numId w:val="0"/>
        </w:numPr>
        <w:rPr>
          <w:b/>
          <w:bCs/>
          <w:sz w:val="24"/>
          <w:szCs w:val="24"/>
        </w:rPr>
      </w:pPr>
    </w:p>
    <w:p w14:paraId="5D49BCBB">
      <w:pPr>
        <w:pStyle w:val="243"/>
        <w:numPr>
          <w:ilvl w:val="0"/>
          <w:numId w:val="0"/>
        </w:numPr>
        <w:rPr>
          <w:b/>
          <w:bCs/>
          <w:sz w:val="24"/>
          <w:szCs w:val="24"/>
        </w:rPr>
      </w:pPr>
    </w:p>
    <w:p w14:paraId="4D451690">
      <w:pPr>
        <w:pStyle w:val="243"/>
        <w:numPr>
          <w:ilvl w:val="0"/>
          <w:numId w:val="0"/>
        </w:numPr>
        <w:rPr>
          <w:b/>
          <w:bCs/>
          <w:sz w:val="24"/>
          <w:szCs w:val="24"/>
        </w:rPr>
      </w:pPr>
    </w:p>
    <w:p w14:paraId="2AE90A43">
      <w:pPr>
        <w:pStyle w:val="243"/>
        <w:numPr>
          <w:ilvl w:val="0"/>
          <w:numId w:val="0"/>
        </w:numPr>
        <w:rPr>
          <w:b/>
          <w:bCs/>
          <w:sz w:val="24"/>
          <w:szCs w:val="24"/>
        </w:rPr>
      </w:pPr>
    </w:p>
    <w:p w14:paraId="74CA84A6">
      <w:pPr>
        <w:pStyle w:val="243"/>
        <w:numPr>
          <w:ilvl w:val="0"/>
          <w:numId w:val="0"/>
        </w:numPr>
        <w:rPr>
          <w:b/>
          <w:bCs/>
          <w:sz w:val="24"/>
          <w:szCs w:val="24"/>
        </w:rPr>
      </w:pPr>
    </w:p>
    <w:p w14:paraId="04D92BC9">
      <w:pPr>
        <w:pStyle w:val="243"/>
        <w:numPr>
          <w:ilvl w:val="0"/>
          <w:numId w:val="0"/>
        </w:numPr>
        <w:rPr>
          <w:b/>
          <w:bCs/>
          <w:sz w:val="24"/>
          <w:szCs w:val="24"/>
        </w:rPr>
      </w:pPr>
    </w:p>
    <w:p w14:paraId="355B5642">
      <w:pPr>
        <w:pStyle w:val="243"/>
        <w:numPr>
          <w:ilvl w:val="0"/>
          <w:numId w:val="0"/>
        </w:numPr>
        <w:rPr>
          <w:b/>
          <w:bCs/>
          <w:sz w:val="24"/>
          <w:szCs w:val="24"/>
        </w:rPr>
      </w:pPr>
    </w:p>
    <w:p w14:paraId="50DA423E">
      <w:pPr>
        <w:pStyle w:val="243"/>
        <w:numPr>
          <w:ilvl w:val="0"/>
          <w:numId w:val="0"/>
        </w:numPr>
        <w:rPr>
          <w:b/>
          <w:bCs/>
          <w:sz w:val="24"/>
          <w:szCs w:val="24"/>
        </w:rPr>
      </w:pPr>
    </w:p>
    <w:p w14:paraId="7C89BECB">
      <w:pPr>
        <w:pStyle w:val="243"/>
        <w:numPr>
          <w:ilvl w:val="0"/>
          <w:numId w:val="0"/>
        </w:numPr>
        <w:rPr>
          <w:b/>
          <w:bCs/>
          <w:sz w:val="24"/>
          <w:szCs w:val="24"/>
        </w:rPr>
      </w:pPr>
    </w:p>
    <w:p w14:paraId="4A0518BD">
      <w:pPr>
        <w:pStyle w:val="243"/>
        <w:numPr>
          <w:ilvl w:val="0"/>
          <w:numId w:val="0"/>
        </w:numPr>
        <w:rPr>
          <w:b/>
          <w:bCs/>
          <w:sz w:val="24"/>
          <w:szCs w:val="24"/>
        </w:rPr>
      </w:pPr>
    </w:p>
    <w:p w14:paraId="07CC4BAC">
      <w:pPr>
        <w:pStyle w:val="243"/>
        <w:numPr>
          <w:ilvl w:val="0"/>
          <w:numId w:val="0"/>
        </w:numPr>
        <w:rPr>
          <w:b/>
          <w:bCs/>
          <w:sz w:val="24"/>
          <w:szCs w:val="24"/>
        </w:rPr>
      </w:pPr>
    </w:p>
    <w:p w14:paraId="3429B1CA">
      <w:pPr>
        <w:pStyle w:val="243"/>
        <w:numPr>
          <w:ilvl w:val="0"/>
          <w:numId w:val="0"/>
        </w:numPr>
        <w:rPr>
          <w:b/>
          <w:bCs/>
          <w:sz w:val="24"/>
          <w:szCs w:val="24"/>
        </w:rPr>
      </w:pPr>
    </w:p>
    <w:p w14:paraId="21191120">
      <w:pPr>
        <w:pStyle w:val="243"/>
        <w:numPr>
          <w:ilvl w:val="0"/>
          <w:numId w:val="0"/>
        </w:numPr>
        <w:rPr>
          <w:b/>
          <w:bCs/>
          <w:sz w:val="24"/>
          <w:szCs w:val="24"/>
        </w:rPr>
      </w:pPr>
    </w:p>
    <w:p w14:paraId="47AB17D3">
      <w:pPr>
        <w:pStyle w:val="243"/>
        <w:numPr>
          <w:ilvl w:val="0"/>
          <w:numId w:val="0"/>
        </w:numPr>
        <w:rPr>
          <w:b/>
          <w:bCs/>
          <w:sz w:val="24"/>
          <w:szCs w:val="24"/>
        </w:rPr>
      </w:pPr>
    </w:p>
    <w:p w14:paraId="5A42C9CD">
      <w:pPr>
        <w:pStyle w:val="243"/>
        <w:numPr>
          <w:ilvl w:val="0"/>
          <w:numId w:val="0"/>
        </w:numPr>
        <w:rPr>
          <w:b/>
          <w:bCs/>
          <w:sz w:val="24"/>
          <w:szCs w:val="24"/>
        </w:rPr>
      </w:pPr>
    </w:p>
    <w:p w14:paraId="492AEE78">
      <w:pPr>
        <w:pStyle w:val="243"/>
        <w:numPr>
          <w:ilvl w:val="0"/>
          <w:numId w:val="0"/>
        </w:numPr>
        <w:rPr>
          <w:b/>
          <w:bCs/>
          <w:sz w:val="24"/>
          <w:szCs w:val="24"/>
        </w:rPr>
      </w:pPr>
    </w:p>
    <w:p w14:paraId="4E4140E6">
      <w:pPr>
        <w:pStyle w:val="243"/>
        <w:numPr>
          <w:ilvl w:val="0"/>
          <w:numId w:val="0"/>
        </w:numPr>
        <w:rPr>
          <w:b/>
          <w:bCs/>
          <w:sz w:val="24"/>
          <w:szCs w:val="24"/>
        </w:rPr>
      </w:pPr>
    </w:p>
    <w:p w14:paraId="5BC15FB6">
      <w:pPr>
        <w:pStyle w:val="243"/>
        <w:numPr>
          <w:ilvl w:val="0"/>
          <w:numId w:val="0"/>
        </w:numPr>
        <w:rPr>
          <w:b/>
          <w:bCs/>
          <w:sz w:val="24"/>
          <w:szCs w:val="24"/>
        </w:rPr>
      </w:pPr>
    </w:p>
    <w:p w14:paraId="35561CF9">
      <w:pPr>
        <w:pStyle w:val="243"/>
        <w:numPr>
          <w:ilvl w:val="0"/>
          <w:numId w:val="0"/>
        </w:numPr>
        <w:rPr>
          <w:b/>
          <w:bCs/>
          <w:sz w:val="24"/>
          <w:szCs w:val="24"/>
        </w:rPr>
      </w:pPr>
    </w:p>
    <w:p w14:paraId="0982F995">
      <w:pPr>
        <w:pStyle w:val="243"/>
        <w:numPr>
          <w:ilvl w:val="0"/>
          <w:numId w:val="0"/>
        </w:numPr>
        <w:rPr>
          <w:b/>
          <w:bCs/>
          <w:sz w:val="24"/>
          <w:szCs w:val="24"/>
        </w:rPr>
      </w:pPr>
    </w:p>
    <w:p w14:paraId="7D32582C">
      <w:pPr>
        <w:tabs>
          <w:tab w:val="left" w:pos="0"/>
          <w:tab w:val="left" w:pos="3840"/>
        </w:tabs>
        <w:spacing w:line="360" w:lineRule="auto"/>
        <w:ind w:firstLine="0"/>
        <w:rPr>
          <w:rFonts w:ascii="宋体" w:hAnsi="宋体"/>
          <w:b/>
          <w:sz w:val="32"/>
          <w:szCs w:val="32"/>
        </w:rPr>
      </w:pPr>
    </w:p>
    <w:p w14:paraId="2481FC4B">
      <w:pPr>
        <w:tabs>
          <w:tab w:val="left" w:pos="815"/>
        </w:tabs>
        <w:jc w:val="left"/>
      </w:pPr>
    </w:p>
    <w:p w14:paraId="04B3DFBF">
      <w:pPr>
        <w:pStyle w:val="243"/>
        <w:pageBreakBefore/>
        <w:numPr>
          <w:ilvl w:val="0"/>
          <w:numId w:val="17"/>
        </w:numPr>
        <w:ind w:left="0" w:firstLine="0"/>
        <w:jc w:val="center"/>
        <w:rPr>
          <w:b/>
          <w:sz w:val="32"/>
          <w:szCs w:val="32"/>
        </w:rPr>
      </w:pPr>
      <w:r>
        <w:rPr>
          <w:rFonts w:hint="eastAsia"/>
          <w:b/>
          <w:sz w:val="32"/>
          <w:szCs w:val="32"/>
        </w:rPr>
        <w:t>具备履行合同所必需的设备和专业技术能力的书面声明</w:t>
      </w:r>
    </w:p>
    <w:p w14:paraId="7723F2F0">
      <w:pPr>
        <w:spacing w:line="560" w:lineRule="exact"/>
        <w:ind w:firstLine="0"/>
        <w:rPr>
          <w:rFonts w:hAnsi="宋体" w:cs="宋体"/>
          <w:sz w:val="24"/>
        </w:rPr>
      </w:pPr>
    </w:p>
    <w:p w14:paraId="1E1626ED">
      <w:pPr>
        <w:spacing w:line="560" w:lineRule="exact"/>
        <w:ind w:firstLine="0"/>
        <w:rPr>
          <w:rFonts w:hAnsi="宋体" w:cs="宋体"/>
          <w:sz w:val="24"/>
        </w:rPr>
      </w:pPr>
      <w:r>
        <w:rPr>
          <w:rFonts w:hint="eastAsia" w:hAnsi="宋体" w:cs="宋体"/>
          <w:sz w:val="24"/>
        </w:rPr>
        <w:t>我单位郑重声明：</w:t>
      </w:r>
    </w:p>
    <w:p w14:paraId="6C8034BB">
      <w:pPr>
        <w:spacing w:line="560" w:lineRule="exact"/>
        <w:ind w:firstLine="480"/>
        <w:rPr>
          <w:rFonts w:hAnsi="宋体" w:cs="宋体"/>
          <w:sz w:val="24"/>
        </w:rPr>
      </w:pPr>
    </w:p>
    <w:p w14:paraId="32D0E636">
      <w:pPr>
        <w:spacing w:line="560" w:lineRule="exact"/>
        <w:ind w:firstLine="1200"/>
        <w:rPr>
          <w:rFonts w:hAnsi="宋体" w:cs="宋体"/>
          <w:sz w:val="24"/>
        </w:rPr>
      </w:pPr>
      <w:r>
        <w:rPr>
          <w:rFonts w:hint="eastAsia" w:hAnsi="宋体" w:cs="宋体"/>
          <w:sz w:val="24"/>
        </w:rPr>
        <w:t>我单位具备履行本项采购合同所必需的设备和专业技术能力。</w:t>
      </w:r>
    </w:p>
    <w:p w14:paraId="30A36D9C">
      <w:pPr>
        <w:spacing w:line="560" w:lineRule="exact"/>
        <w:ind w:firstLine="480"/>
        <w:rPr>
          <w:rFonts w:hAnsi="宋体" w:cs="宋体"/>
          <w:sz w:val="24"/>
        </w:rPr>
      </w:pPr>
    </w:p>
    <w:p w14:paraId="207FC6DE">
      <w:pPr>
        <w:ind w:firstLine="480"/>
        <w:rPr>
          <w:rFonts w:hAnsi="宋体" w:cs="宋体"/>
          <w:sz w:val="24"/>
        </w:rPr>
      </w:pPr>
    </w:p>
    <w:p w14:paraId="280CFD2F">
      <w:pPr>
        <w:ind w:firstLine="480"/>
        <w:rPr>
          <w:rFonts w:hAnsi="宋体" w:cs="宋体"/>
          <w:sz w:val="24"/>
        </w:rPr>
      </w:pPr>
    </w:p>
    <w:p w14:paraId="52B79528">
      <w:pPr>
        <w:ind w:firstLine="480"/>
        <w:rPr>
          <w:rFonts w:hAnsi="宋体" w:cs="宋体"/>
          <w:sz w:val="24"/>
        </w:rPr>
      </w:pPr>
    </w:p>
    <w:p w14:paraId="58317683">
      <w:pPr>
        <w:ind w:firstLine="480"/>
        <w:rPr>
          <w:rFonts w:hAnsi="宋体" w:cs="宋体"/>
          <w:sz w:val="24"/>
        </w:rPr>
      </w:pPr>
      <w:r>
        <w:rPr>
          <w:rFonts w:hint="eastAsia" w:hAnsi="宋体" w:cs="宋体"/>
          <w:sz w:val="24"/>
        </w:rPr>
        <w:t xml:space="preserve">                                                 投标单位（加盖公章）：</w:t>
      </w:r>
    </w:p>
    <w:p w14:paraId="03D65974">
      <w:pPr>
        <w:ind w:firstLine="480"/>
        <w:jc w:val="center"/>
        <w:rPr>
          <w:rFonts w:ascii="宋体" w:hAnsi="宋体"/>
          <w:sz w:val="24"/>
        </w:rPr>
      </w:pPr>
    </w:p>
    <w:p w14:paraId="07ED751D">
      <w:pPr>
        <w:pStyle w:val="51"/>
        <w:rPr>
          <w:rFonts w:ascii="宋体" w:hAnsi="宋体"/>
          <w:sz w:val="24"/>
        </w:rPr>
      </w:pPr>
    </w:p>
    <w:p w14:paraId="7DB6CC23">
      <w:pPr>
        <w:pStyle w:val="51"/>
        <w:rPr>
          <w:rFonts w:ascii="宋体" w:hAnsi="宋体"/>
          <w:sz w:val="24"/>
        </w:rPr>
      </w:pPr>
    </w:p>
    <w:p w14:paraId="714E2A94">
      <w:pPr>
        <w:pStyle w:val="243"/>
        <w:pageBreakBefore/>
        <w:numPr>
          <w:ilvl w:val="0"/>
          <w:numId w:val="17"/>
        </w:numPr>
        <w:ind w:left="0" w:firstLine="0"/>
        <w:jc w:val="center"/>
        <w:rPr>
          <w:b/>
          <w:sz w:val="32"/>
          <w:szCs w:val="32"/>
        </w:rPr>
      </w:pPr>
      <w:r>
        <w:rPr>
          <w:rFonts w:hint="eastAsia"/>
          <w:b/>
          <w:sz w:val="32"/>
          <w:szCs w:val="32"/>
        </w:rPr>
        <w:t>参加本次采购活动前3年内在经营活动中没有重大违法记录的书面声明</w:t>
      </w:r>
    </w:p>
    <w:p w14:paraId="406817FC">
      <w:pPr>
        <w:ind w:firstLine="420"/>
      </w:pPr>
    </w:p>
    <w:p w14:paraId="3700412B">
      <w:pPr>
        <w:ind w:firstLine="480"/>
        <w:rPr>
          <w:rFonts w:ascii="宋体" w:hAnsi="宋体" w:cs="宋体"/>
          <w:sz w:val="24"/>
        </w:rPr>
      </w:pPr>
      <w:r>
        <w:rPr>
          <w:rFonts w:hint="eastAsia" w:ascii="宋体" w:hAnsi="宋体" w:cs="宋体"/>
          <w:sz w:val="24"/>
        </w:rPr>
        <w:t xml:space="preserve"> 我单位郑重声明：参加本次政府采购活动前3年内，我单位在经营活动中没有因违法经营受到刑事处罚或者责令停产停业、吊销许可证或者执照、较大数额罚款等行政处罚。</w:t>
      </w:r>
    </w:p>
    <w:p w14:paraId="6E319E05">
      <w:pPr>
        <w:ind w:firstLine="480"/>
        <w:rPr>
          <w:sz w:val="24"/>
        </w:rPr>
      </w:pPr>
    </w:p>
    <w:p w14:paraId="75F3CF75">
      <w:pPr>
        <w:ind w:firstLine="480"/>
        <w:rPr>
          <w:sz w:val="24"/>
        </w:rPr>
      </w:pPr>
      <w:r>
        <w:rPr>
          <w:rFonts w:hint="eastAsia"/>
          <w:sz w:val="24"/>
        </w:rPr>
        <w:t xml:space="preserve"> </w:t>
      </w:r>
    </w:p>
    <w:p w14:paraId="2323C667">
      <w:pPr>
        <w:ind w:firstLine="480"/>
        <w:rPr>
          <w:sz w:val="24"/>
        </w:rPr>
      </w:pPr>
      <w:r>
        <w:rPr>
          <w:rFonts w:hint="eastAsia"/>
          <w:sz w:val="24"/>
        </w:rPr>
        <w:t xml:space="preserve">                                                     </w:t>
      </w:r>
    </w:p>
    <w:p w14:paraId="671483E7">
      <w:pPr>
        <w:ind w:firstLine="480"/>
        <w:jc w:val="right"/>
        <w:rPr>
          <w:sz w:val="24"/>
        </w:rPr>
      </w:pPr>
      <w:r>
        <w:rPr>
          <w:rFonts w:hint="eastAsia"/>
          <w:sz w:val="24"/>
        </w:rPr>
        <w:t>投标单位（加盖公章）：</w:t>
      </w:r>
    </w:p>
    <w:p w14:paraId="1199A776">
      <w:pPr>
        <w:ind w:firstLine="480"/>
        <w:rPr>
          <w:sz w:val="24"/>
        </w:rPr>
      </w:pPr>
    </w:p>
    <w:p w14:paraId="3DE39C1E">
      <w:pPr>
        <w:pStyle w:val="243"/>
        <w:pageBreakBefore/>
        <w:numPr>
          <w:ilvl w:val="0"/>
          <w:numId w:val="17"/>
        </w:numPr>
        <w:ind w:left="0" w:firstLine="0"/>
        <w:jc w:val="center"/>
        <w:rPr>
          <w:b/>
          <w:sz w:val="32"/>
          <w:szCs w:val="32"/>
        </w:rPr>
      </w:pPr>
      <w:r>
        <w:rPr>
          <w:rFonts w:hint="eastAsia"/>
          <w:b/>
          <w:sz w:val="32"/>
          <w:szCs w:val="32"/>
        </w:rPr>
        <w:t>关于资格证明文件的书面承诺</w:t>
      </w:r>
    </w:p>
    <w:p w14:paraId="76E05502">
      <w:pPr>
        <w:ind w:firstLine="643"/>
        <w:jc w:val="center"/>
        <w:rPr>
          <w:rFonts w:ascii="宋体" w:hAnsi="宋体"/>
          <w:b/>
          <w:sz w:val="32"/>
          <w:szCs w:val="32"/>
        </w:rPr>
      </w:pPr>
    </w:p>
    <w:p w14:paraId="09A3F529">
      <w:pPr>
        <w:pStyle w:val="205"/>
        <w:ind w:firstLine="480"/>
        <w:rPr>
          <w:rFonts w:ascii="宋体" w:hAnsi="宋体"/>
          <w:sz w:val="24"/>
          <w:szCs w:val="24"/>
        </w:rPr>
      </w:pPr>
      <w:r>
        <w:rPr>
          <w:rFonts w:hint="eastAsia" w:ascii="宋体" w:hAnsi="宋体"/>
          <w:sz w:val="24"/>
          <w:szCs w:val="24"/>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722FBD9A">
      <w:pPr>
        <w:ind w:firstLine="480"/>
        <w:rPr>
          <w:rFonts w:ascii="宋体" w:hAnsi="宋体"/>
          <w:sz w:val="24"/>
        </w:rPr>
      </w:pPr>
    </w:p>
    <w:p w14:paraId="7597D39A">
      <w:pPr>
        <w:ind w:firstLine="643"/>
        <w:jc w:val="center"/>
        <w:rPr>
          <w:b/>
          <w:sz w:val="32"/>
          <w:szCs w:val="32"/>
        </w:rPr>
      </w:pPr>
    </w:p>
    <w:p w14:paraId="62859B57">
      <w:pPr>
        <w:ind w:firstLine="480"/>
        <w:jc w:val="right"/>
        <w:rPr>
          <w:rFonts w:ascii="宋体" w:hAnsi="宋体"/>
          <w:sz w:val="24"/>
        </w:rPr>
      </w:pPr>
      <w:r>
        <w:rPr>
          <w:rFonts w:hint="eastAsia" w:ascii="宋体" w:hAnsi="宋体"/>
          <w:sz w:val="24"/>
        </w:rPr>
        <w:t xml:space="preserve">     投标单位（加盖公章）：</w:t>
      </w:r>
    </w:p>
    <w:p w14:paraId="0AB9024E">
      <w:pPr>
        <w:ind w:firstLine="560"/>
        <w:jc w:val="center"/>
        <w:rPr>
          <w:rFonts w:ascii="仿宋_GB2312" w:eastAsia="仿宋_GB2312"/>
          <w:sz w:val="28"/>
          <w:szCs w:val="28"/>
        </w:rPr>
      </w:pPr>
    </w:p>
    <w:p w14:paraId="3FDF0052">
      <w:pPr>
        <w:pStyle w:val="243"/>
        <w:pageBreakBefore/>
        <w:numPr>
          <w:ilvl w:val="0"/>
          <w:numId w:val="17"/>
        </w:numPr>
        <w:ind w:left="0" w:firstLine="0"/>
        <w:jc w:val="center"/>
        <w:rPr>
          <w:b/>
          <w:sz w:val="32"/>
          <w:szCs w:val="32"/>
        </w:rPr>
      </w:pPr>
      <w:r>
        <w:rPr>
          <w:rFonts w:hint="eastAsia"/>
          <w:b/>
          <w:sz w:val="32"/>
          <w:szCs w:val="32"/>
        </w:rPr>
        <w:t>授权委托书</w:t>
      </w:r>
    </w:p>
    <w:p w14:paraId="6D967B58">
      <w:pPr>
        <w:ind w:firstLine="0"/>
      </w:pPr>
    </w:p>
    <w:p w14:paraId="0019E74F">
      <w:pPr>
        <w:pStyle w:val="254"/>
        <w:spacing w:line="440" w:lineRule="exact"/>
        <w:ind w:firstLine="480"/>
        <w:rPr>
          <w:rStyle w:val="203"/>
        </w:rPr>
      </w:pPr>
      <w:bookmarkStart w:id="204" w:name="OLE_LINK17"/>
      <w:r>
        <w:rPr>
          <w:rStyle w:val="203"/>
          <w:color w:val="000000"/>
        </w:rPr>
        <w:t>本授权书声明： </w:t>
      </w:r>
      <w:r>
        <w:rPr>
          <w:rStyle w:val="203"/>
          <w:color w:val="000000"/>
          <w:u w:val="single"/>
        </w:rPr>
        <w:t>  （</w:t>
      </w:r>
      <w:r>
        <w:rPr>
          <w:rStyle w:val="203"/>
          <w:rFonts w:hint="eastAsia" w:eastAsia="宋体"/>
          <w:color w:val="000000"/>
          <w:u w:val="single"/>
        </w:rPr>
        <w:t>投标人</w:t>
      </w:r>
      <w:r>
        <w:rPr>
          <w:rStyle w:val="203"/>
          <w:color w:val="000000"/>
          <w:u w:val="single"/>
        </w:rPr>
        <w:t>名称）</w:t>
      </w:r>
      <w:r>
        <w:rPr>
          <w:rStyle w:val="203"/>
          <w:color w:val="000000"/>
        </w:rPr>
        <w:t>授权(</w:t>
      </w:r>
      <w:r>
        <w:rPr>
          <w:rStyle w:val="203"/>
          <w:color w:val="000000"/>
          <w:u w:val="single"/>
        </w:rPr>
        <w:t>被授权人的姓名</w:t>
      </w:r>
      <w:r>
        <w:rPr>
          <w:rStyle w:val="203"/>
          <w:color w:val="000000"/>
        </w:rPr>
        <w:t>)为我方就 </w:t>
      </w:r>
      <w:r>
        <w:rPr>
          <w:rStyle w:val="203"/>
          <w:rFonts w:hint="eastAsia" w:eastAsia="宋体"/>
          <w:color w:val="000000"/>
          <w:u w:val="single"/>
        </w:rPr>
        <w:t xml:space="preserve">     </w:t>
      </w:r>
      <w:r>
        <w:rPr>
          <w:rStyle w:val="203"/>
          <w:color w:val="000000"/>
        </w:rPr>
        <w:t>项目采购活动的合法代理人，以本单位名义全权处理一切与该项目采购有关的事务。</w:t>
      </w:r>
      <w:r>
        <w:rPr>
          <w:rStyle w:val="275"/>
          <w:rFonts w:hint="eastAsia"/>
        </w:rPr>
        <w:t>其代表本单位处理相关事项所产生的一切责任由本单位承担。</w:t>
      </w:r>
      <w:r>
        <w:rPr>
          <w:rStyle w:val="203"/>
          <w:color w:val="000000"/>
        </w:rPr>
        <w:t xml:space="preserve"> </w:t>
      </w:r>
    </w:p>
    <w:p w14:paraId="0F3B5C30">
      <w:pPr>
        <w:pStyle w:val="254"/>
        <w:spacing w:line="440" w:lineRule="exact"/>
        <w:ind w:firstLine="480"/>
        <w:rPr>
          <w:rStyle w:val="203"/>
        </w:rPr>
      </w:pPr>
      <w:r>
        <w:rPr>
          <w:rStyle w:val="203"/>
          <w:color w:val="000000"/>
        </w:rPr>
        <w:t>本授权书于</w:t>
      </w:r>
      <w:r>
        <w:rPr>
          <w:rStyle w:val="203"/>
          <w:rFonts w:hint="eastAsia" w:eastAsia="宋体"/>
          <w:color w:val="000000"/>
          <w:u w:val="single"/>
        </w:rPr>
        <w:t xml:space="preserve">        </w:t>
      </w:r>
      <w:r>
        <w:rPr>
          <w:rStyle w:val="203"/>
          <w:color w:val="000000"/>
        </w:rPr>
        <w:t xml:space="preserve">起生效，特此声明。  </w:t>
      </w:r>
    </w:p>
    <w:p w14:paraId="6C90645F">
      <w:pPr>
        <w:pStyle w:val="254"/>
        <w:spacing w:line="440" w:lineRule="exact"/>
        <w:ind w:firstLine="480"/>
        <w:rPr>
          <w:rStyle w:val="203"/>
        </w:rPr>
      </w:pPr>
      <w:r>
        <w:rPr>
          <w:rStyle w:val="203"/>
          <w:color w:val="000000"/>
        </w:rPr>
        <w:t> </w:t>
      </w:r>
    </w:p>
    <w:p w14:paraId="6D43E28A">
      <w:pPr>
        <w:pStyle w:val="254"/>
        <w:spacing w:before="240" w:after="240"/>
        <w:ind w:firstLine="4560"/>
        <w:rPr>
          <w:rStyle w:val="203"/>
        </w:rPr>
      </w:pPr>
      <w:r>
        <w:rPr>
          <w:rStyle w:val="203"/>
          <w:color w:val="000000"/>
        </w:rPr>
        <w:t>被授权人身份证号码：   </w:t>
      </w:r>
    </w:p>
    <w:p w14:paraId="03BA8A25">
      <w:pPr>
        <w:pStyle w:val="254"/>
        <w:spacing w:before="240" w:after="240"/>
        <w:ind w:firstLine="4560"/>
        <w:rPr>
          <w:rStyle w:val="203"/>
          <w:color w:val="000000"/>
        </w:rPr>
      </w:pPr>
      <w:r>
        <w:rPr>
          <w:rStyle w:val="203"/>
          <w:color w:val="000000"/>
        </w:rPr>
        <w:t>被授权人联系电话：（手机）   </w:t>
      </w:r>
    </w:p>
    <w:p w14:paraId="5624D891">
      <w:pPr>
        <w:pStyle w:val="254"/>
        <w:spacing w:before="240" w:after="240"/>
        <w:ind w:firstLine="4560"/>
        <w:rPr>
          <w:rStyle w:val="203"/>
          <w:color w:val="000000"/>
        </w:rPr>
      </w:pPr>
      <w:r>
        <w:rPr>
          <w:rStyle w:val="203"/>
          <w:color w:val="000000"/>
        </w:rPr>
        <w:t>授权单位名称：   （加盖公章）</w:t>
      </w:r>
    </w:p>
    <w:p w14:paraId="60888D9D">
      <w:pPr>
        <w:pStyle w:val="254"/>
        <w:spacing w:before="240" w:after="240"/>
        <w:ind w:firstLine="4560"/>
        <w:rPr>
          <w:rStyle w:val="203"/>
          <w:color w:val="000000"/>
        </w:rPr>
      </w:pPr>
      <w:r>
        <w:rPr>
          <w:rStyle w:val="203"/>
          <w:color w:val="000000"/>
        </w:rPr>
        <w:t>单位地址：   </w:t>
      </w:r>
    </w:p>
    <w:p w14:paraId="1F712744">
      <w:pPr>
        <w:pStyle w:val="254"/>
        <w:spacing w:before="240" w:after="240"/>
        <w:ind w:firstLine="4560"/>
        <w:rPr>
          <w:rStyle w:val="203"/>
          <w:color w:val="000000"/>
        </w:rPr>
      </w:pPr>
      <w:r>
        <w:rPr>
          <w:rStyle w:val="203"/>
          <w:color w:val="000000"/>
        </w:rPr>
        <w:t>日期：</w:t>
      </w:r>
    </w:p>
    <w:p w14:paraId="25ED1764">
      <w:pPr>
        <w:pStyle w:val="254"/>
        <w:spacing w:before="240" w:after="240"/>
        <w:ind w:firstLine="4560"/>
        <w:rPr>
          <w:rStyle w:val="203"/>
          <w:color w:val="000000"/>
        </w:rPr>
      </w:pPr>
    </w:p>
    <w:p w14:paraId="4005DD8E">
      <w:pPr>
        <w:pStyle w:val="243"/>
        <w:numPr>
          <w:ilvl w:val="0"/>
          <w:numId w:val="0"/>
        </w:numPr>
        <w:ind w:firstLine="482"/>
        <w:rPr>
          <w:b/>
          <w:bCs/>
          <w:sz w:val="24"/>
          <w:szCs w:val="24"/>
        </w:rPr>
      </w:pPr>
    </w:p>
    <w:p w14:paraId="56F0B41C">
      <w:pPr>
        <w:pStyle w:val="243"/>
        <w:numPr>
          <w:ilvl w:val="0"/>
          <w:numId w:val="0"/>
        </w:numPr>
        <w:ind w:firstLine="482"/>
        <w:rPr>
          <w:b/>
          <w:bCs/>
          <w:sz w:val="24"/>
          <w:szCs w:val="24"/>
        </w:rPr>
      </w:pPr>
    </w:p>
    <w:p w14:paraId="1A87F898">
      <w:pPr>
        <w:pStyle w:val="243"/>
        <w:numPr>
          <w:ilvl w:val="0"/>
          <w:numId w:val="0"/>
        </w:numPr>
        <w:ind w:firstLine="482"/>
        <w:rPr>
          <w:rStyle w:val="275"/>
          <w:b/>
          <w:sz w:val="24"/>
          <w:szCs w:val="22"/>
        </w:rPr>
      </w:pPr>
      <w:r>
        <w:rPr>
          <w:rFonts w:hint="eastAsia"/>
          <w:b/>
          <w:bCs/>
          <w:sz w:val="24"/>
          <w:szCs w:val="24"/>
        </w:rPr>
        <w:t>附：</w:t>
      </w:r>
      <w:r>
        <w:rPr>
          <w:rStyle w:val="275"/>
          <w:rFonts w:hint="eastAsia"/>
          <w:b/>
          <w:sz w:val="24"/>
          <w:szCs w:val="22"/>
        </w:rPr>
        <w:t>被授权人非法定代表人的，应提供授权委托书以及</w:t>
      </w:r>
      <w:r>
        <w:rPr>
          <w:rFonts w:hint="eastAsia"/>
          <w:b/>
          <w:bCs/>
          <w:sz w:val="24"/>
          <w:szCs w:val="24"/>
        </w:rPr>
        <w:t>法定代表人的、被授权人代表的身份证明材料；</w:t>
      </w:r>
      <w:r>
        <w:rPr>
          <w:rStyle w:val="275"/>
          <w:rFonts w:hint="eastAsia"/>
          <w:b/>
          <w:sz w:val="24"/>
          <w:szCs w:val="22"/>
        </w:rPr>
        <w:t>被授权人是法定代表人的，应提供法定代表人身份证明材料。</w:t>
      </w:r>
      <w:bookmarkEnd w:id="204"/>
    </w:p>
    <w:p w14:paraId="1B569C58">
      <w:pPr>
        <w:pStyle w:val="243"/>
        <w:numPr>
          <w:ilvl w:val="0"/>
          <w:numId w:val="0"/>
        </w:numPr>
        <w:ind w:firstLine="482"/>
        <w:rPr>
          <w:rStyle w:val="275"/>
          <w:b/>
          <w:sz w:val="24"/>
          <w:szCs w:val="22"/>
        </w:rPr>
      </w:pPr>
    </w:p>
    <w:p w14:paraId="2A4D48A3">
      <w:pPr>
        <w:pStyle w:val="243"/>
        <w:numPr>
          <w:ilvl w:val="0"/>
          <w:numId w:val="0"/>
        </w:numPr>
        <w:ind w:firstLine="482"/>
        <w:rPr>
          <w:rStyle w:val="275"/>
          <w:b/>
          <w:sz w:val="24"/>
          <w:szCs w:val="22"/>
        </w:rPr>
      </w:pPr>
    </w:p>
    <w:p w14:paraId="018F059A">
      <w:pPr>
        <w:pStyle w:val="243"/>
        <w:numPr>
          <w:ilvl w:val="0"/>
          <w:numId w:val="0"/>
        </w:numPr>
        <w:ind w:firstLine="482"/>
        <w:rPr>
          <w:rStyle w:val="275"/>
          <w:b/>
          <w:sz w:val="24"/>
          <w:szCs w:val="22"/>
        </w:rPr>
      </w:pPr>
    </w:p>
    <w:p w14:paraId="164C38E6">
      <w:pPr>
        <w:pStyle w:val="243"/>
        <w:numPr>
          <w:ilvl w:val="0"/>
          <w:numId w:val="0"/>
        </w:numPr>
        <w:ind w:firstLine="482"/>
        <w:rPr>
          <w:rStyle w:val="275"/>
          <w:b/>
          <w:sz w:val="24"/>
          <w:szCs w:val="22"/>
        </w:rPr>
      </w:pPr>
    </w:p>
    <w:p w14:paraId="20A08143">
      <w:pPr>
        <w:pStyle w:val="243"/>
        <w:numPr>
          <w:ilvl w:val="0"/>
          <w:numId w:val="0"/>
        </w:numPr>
        <w:ind w:firstLine="482"/>
        <w:rPr>
          <w:rStyle w:val="275"/>
          <w:b/>
          <w:sz w:val="24"/>
          <w:szCs w:val="22"/>
        </w:rPr>
      </w:pPr>
    </w:p>
    <w:p w14:paraId="65D672E5">
      <w:pPr>
        <w:pStyle w:val="243"/>
        <w:numPr>
          <w:ilvl w:val="0"/>
          <w:numId w:val="0"/>
        </w:numPr>
        <w:ind w:firstLine="482"/>
        <w:rPr>
          <w:rStyle w:val="275"/>
          <w:b/>
          <w:sz w:val="24"/>
          <w:szCs w:val="22"/>
        </w:rPr>
      </w:pPr>
    </w:p>
    <w:p w14:paraId="75A0C5E6">
      <w:pPr>
        <w:pStyle w:val="243"/>
        <w:numPr>
          <w:ilvl w:val="0"/>
          <w:numId w:val="0"/>
        </w:numPr>
        <w:ind w:firstLine="482"/>
        <w:rPr>
          <w:rStyle w:val="275"/>
          <w:b/>
          <w:sz w:val="24"/>
          <w:szCs w:val="22"/>
        </w:rPr>
      </w:pPr>
    </w:p>
    <w:p w14:paraId="0D09821C">
      <w:pPr>
        <w:pStyle w:val="243"/>
        <w:numPr>
          <w:ilvl w:val="0"/>
          <w:numId w:val="0"/>
        </w:numPr>
        <w:ind w:firstLine="482"/>
        <w:rPr>
          <w:rStyle w:val="275"/>
          <w:b/>
          <w:sz w:val="24"/>
          <w:szCs w:val="22"/>
        </w:rPr>
      </w:pPr>
    </w:p>
    <w:p w14:paraId="6BA0FD2B">
      <w:pPr>
        <w:pStyle w:val="243"/>
        <w:numPr>
          <w:ilvl w:val="0"/>
          <w:numId w:val="0"/>
        </w:numPr>
        <w:ind w:firstLine="482"/>
        <w:rPr>
          <w:rStyle w:val="275"/>
          <w:b/>
          <w:sz w:val="24"/>
          <w:szCs w:val="22"/>
        </w:rPr>
      </w:pPr>
    </w:p>
    <w:p w14:paraId="1D13AC7B">
      <w:pPr>
        <w:pStyle w:val="243"/>
        <w:numPr>
          <w:ilvl w:val="0"/>
          <w:numId w:val="0"/>
        </w:numPr>
        <w:ind w:firstLine="482"/>
        <w:rPr>
          <w:rStyle w:val="275"/>
          <w:b/>
          <w:sz w:val="24"/>
          <w:szCs w:val="22"/>
        </w:rPr>
      </w:pPr>
    </w:p>
    <w:p w14:paraId="530BEDC9">
      <w:pPr>
        <w:pStyle w:val="243"/>
        <w:pageBreakBefore/>
        <w:numPr>
          <w:ilvl w:val="0"/>
          <w:numId w:val="17"/>
        </w:numPr>
        <w:ind w:left="0" w:firstLine="0"/>
        <w:jc w:val="center"/>
        <w:rPr>
          <w:b/>
          <w:sz w:val="32"/>
          <w:szCs w:val="32"/>
        </w:rPr>
      </w:pPr>
      <w:bookmarkStart w:id="205" w:name="OLE_LINK18"/>
      <w:r>
        <w:rPr>
          <w:rFonts w:hint="eastAsia"/>
          <w:b/>
          <w:sz w:val="32"/>
          <w:szCs w:val="32"/>
        </w:rPr>
        <w:t>中小企业声明函（专门面向中小企业）</w:t>
      </w:r>
    </w:p>
    <w:p w14:paraId="044D7909"/>
    <w:p w14:paraId="1187E3A6">
      <w:pPr>
        <w:pStyle w:val="260"/>
        <w:spacing w:line="440" w:lineRule="exact"/>
        <w:ind w:firstLine="480"/>
        <w:rPr>
          <w:rStyle w:val="275"/>
          <w:rFonts w:ascii="宋体" w:hAnsi="宋体" w:eastAsia="宋体" w:cs="宋体"/>
          <w:color w:val="000000"/>
        </w:rPr>
      </w:pPr>
      <w:r>
        <w:rPr>
          <w:rStyle w:val="275"/>
          <w:rFonts w:ascii="宋体" w:hAnsi="宋体" w:eastAsia="宋体" w:cs="宋体"/>
          <w:color w:val="000000"/>
        </w:rPr>
        <w:t>本公司郑重声明，根据《政府采购促进中小企业发展管理办法》 (财库〔2020〕46号)的规定，本公司参加</w:t>
      </w:r>
      <w:r>
        <w:rPr>
          <w:rStyle w:val="275"/>
          <w:rFonts w:hint="eastAsia" w:ascii="宋体" w:hAnsi="宋体" w:eastAsia="宋体" w:cs="宋体"/>
          <w:color w:val="000000"/>
          <w:u w:val="single"/>
        </w:rPr>
        <w:t xml:space="preserve">  </w:t>
      </w:r>
      <w:r>
        <w:rPr>
          <w:rStyle w:val="275"/>
          <w:rFonts w:ascii="宋体" w:hAnsi="宋体" w:eastAsia="宋体" w:cs="宋体"/>
          <w:color w:val="000000"/>
          <w:u w:val="single"/>
        </w:rPr>
        <w:t>（单位名称）</w:t>
      </w:r>
      <w:r>
        <w:rPr>
          <w:rStyle w:val="275"/>
          <w:rFonts w:ascii="宋体" w:hAnsi="宋体" w:eastAsia="宋体" w:cs="宋体"/>
          <w:color w:val="000000"/>
        </w:rPr>
        <w:t>的</w:t>
      </w:r>
      <w:r>
        <w:rPr>
          <w:rStyle w:val="275"/>
          <w:rFonts w:hint="eastAsia" w:ascii="宋体" w:hAnsi="宋体" w:eastAsia="宋体" w:cs="宋体"/>
          <w:color w:val="000000"/>
          <w:u w:val="single"/>
        </w:rPr>
        <w:t xml:space="preserve">  </w:t>
      </w:r>
      <w:r>
        <w:rPr>
          <w:rStyle w:val="275"/>
          <w:rFonts w:ascii="宋体" w:hAnsi="宋体" w:eastAsia="宋体" w:cs="宋体"/>
          <w:color w:val="000000"/>
          <w:u w:val="single"/>
        </w:rPr>
        <w:t>（项目名称）</w:t>
      </w:r>
      <w:r>
        <w:rPr>
          <w:rStyle w:val="275"/>
          <w:rFonts w:ascii="宋体" w:hAnsi="宋体" w:eastAsia="宋体" w:cs="宋体"/>
          <w:color w:val="000000"/>
        </w:rPr>
        <w:t>采购活动，</w:t>
      </w:r>
      <w:r>
        <w:rPr>
          <w:rFonts w:hint="eastAsia" w:ascii="宋体" w:hAnsi="宋体" w:cs="宋体"/>
        </w:rPr>
        <w:t>货物</w:t>
      </w:r>
      <w:r>
        <w:rPr>
          <w:rFonts w:hint="eastAsia" w:ascii="宋体" w:hAnsi="宋体" w:eastAsia="宋体" w:cs="宋体"/>
        </w:rPr>
        <w:t>全部由符合政策要求的中小企业制造</w:t>
      </w:r>
      <w:r>
        <w:rPr>
          <w:rStyle w:val="275"/>
          <w:rFonts w:ascii="宋体" w:hAnsi="宋体" w:eastAsia="宋体" w:cs="宋体"/>
          <w:color w:val="000000"/>
        </w:rPr>
        <w:t>。相关企业的具体情况如下：</w:t>
      </w:r>
    </w:p>
    <w:p w14:paraId="0CA2D072">
      <w:pPr>
        <w:pStyle w:val="257"/>
        <w:numPr>
          <w:ilvl w:val="0"/>
          <w:numId w:val="18"/>
        </w:numPr>
        <w:spacing w:line="440" w:lineRule="exact"/>
        <w:ind w:firstLine="480"/>
        <w:rPr>
          <w:rFonts w:ascii="宋体" w:hAnsi="宋体" w:eastAsia="宋体" w:cs="宋体"/>
        </w:rPr>
      </w:pPr>
      <w:r>
        <w:rPr>
          <w:rFonts w:hint="eastAsia" w:ascii="宋体" w:hAnsi="宋体" w:eastAsia="宋体" w:cs="宋体"/>
          <w:u w:val="single"/>
        </w:rPr>
        <w:t xml:space="preserve">（标的名称） </w:t>
      </w:r>
      <w:r>
        <w:rPr>
          <w:rFonts w:hint="eastAsia" w:ascii="宋体" w:hAnsi="宋体" w:eastAsia="宋体" w:cs="宋体"/>
        </w:rPr>
        <w:t>，属于</w:t>
      </w:r>
      <w:r>
        <w:rPr>
          <w:rFonts w:hint="eastAsia" w:ascii="宋体" w:hAnsi="宋体" w:eastAsia="宋体" w:cs="宋体"/>
          <w:u w:val="single"/>
        </w:rPr>
        <w:t>（采购文件中明确的所属行业）</w:t>
      </w:r>
      <w:r>
        <w:rPr>
          <w:rFonts w:hint="eastAsia" w:ascii="宋体" w:hAnsi="宋体" w:eastAsia="宋体" w:cs="宋体"/>
        </w:rPr>
        <w:t xml:space="preserve"> 行业；制造商为</w:t>
      </w:r>
      <w:r>
        <w:rPr>
          <w:rFonts w:hint="eastAsia" w:ascii="宋体" w:hAnsi="宋体" w:eastAsia="宋体" w:cs="宋体"/>
          <w:u w:val="single"/>
        </w:rPr>
        <w:t>（企业名称）</w:t>
      </w:r>
      <w:r>
        <w:rPr>
          <w:rFonts w:hint="eastAsia" w:ascii="宋体" w:hAnsi="宋体" w:eastAsia="宋体" w:cs="宋体"/>
        </w:rPr>
        <w:t>，从业人员</w:t>
      </w:r>
      <w:r>
        <w:rPr>
          <w:rFonts w:hint="eastAsia" w:ascii="宋体" w:hAnsi="宋体" w:eastAsia="宋体" w:cs="宋体"/>
          <w:u w:val="single"/>
        </w:rPr>
        <w:t xml:space="preserve">     </w:t>
      </w:r>
      <w:r>
        <w:rPr>
          <w:rFonts w:hint="eastAsia" w:ascii="宋体" w:hAnsi="宋体" w:eastAsia="宋体" w:cs="宋体"/>
        </w:rPr>
        <w:t>人，营业收入为</w:t>
      </w:r>
      <w:r>
        <w:rPr>
          <w:rFonts w:hint="eastAsia" w:ascii="宋体" w:hAnsi="宋体" w:eastAsia="宋体" w:cs="宋体"/>
          <w:u w:val="single"/>
        </w:rPr>
        <w:t xml:space="preserve">     </w:t>
      </w:r>
      <w:r>
        <w:rPr>
          <w:rFonts w:hint="eastAsia" w:ascii="宋体" w:hAnsi="宋体" w:eastAsia="宋体" w:cs="宋体"/>
        </w:rPr>
        <w:t>万元，资产总额为</w:t>
      </w:r>
      <w:r>
        <w:rPr>
          <w:rFonts w:hint="eastAsia" w:ascii="宋体" w:hAnsi="宋体" w:eastAsia="宋体" w:cs="宋体"/>
          <w:u w:val="single"/>
        </w:rPr>
        <w:t xml:space="preserve">     </w:t>
      </w:r>
      <w:r>
        <w:rPr>
          <w:rFonts w:hint="eastAsia" w:ascii="宋体" w:hAnsi="宋体" w:eastAsia="宋体" w:cs="宋体"/>
        </w:rPr>
        <w:t>万元，属于</w:t>
      </w:r>
      <w:r>
        <w:rPr>
          <w:rFonts w:hint="eastAsia" w:ascii="宋体" w:hAnsi="宋体" w:eastAsia="宋体" w:cs="宋体"/>
          <w:u w:val="single"/>
        </w:rPr>
        <w:t>（中型企业、小型企业、微型企业）</w:t>
      </w:r>
      <w:r>
        <w:rPr>
          <w:rFonts w:hint="eastAsia" w:ascii="宋体" w:hAnsi="宋体" w:eastAsia="宋体" w:cs="宋体"/>
        </w:rPr>
        <w:t>；</w:t>
      </w:r>
    </w:p>
    <w:p w14:paraId="0C2A8AB4">
      <w:pPr>
        <w:pStyle w:val="257"/>
        <w:numPr>
          <w:ilvl w:val="0"/>
          <w:numId w:val="18"/>
        </w:numPr>
        <w:spacing w:line="440" w:lineRule="exact"/>
        <w:ind w:firstLine="480"/>
        <w:rPr>
          <w:rFonts w:ascii="宋体" w:hAnsi="宋体" w:eastAsia="宋体" w:cs="宋体"/>
        </w:rPr>
      </w:pPr>
      <w:r>
        <w:rPr>
          <w:rFonts w:hint="eastAsia" w:ascii="宋体" w:hAnsi="宋体" w:eastAsia="宋体" w:cs="宋体"/>
        </w:rPr>
        <w:t>......</w:t>
      </w:r>
    </w:p>
    <w:p w14:paraId="61980114">
      <w:pPr>
        <w:pStyle w:val="260"/>
        <w:spacing w:line="440" w:lineRule="exact"/>
        <w:rPr>
          <w:rStyle w:val="275"/>
          <w:rFonts w:ascii="宋体" w:hAnsi="宋体" w:eastAsia="宋体" w:cs="宋体"/>
          <w:color w:val="000000"/>
        </w:rPr>
      </w:pPr>
      <w:r>
        <w:rPr>
          <w:rStyle w:val="275"/>
          <w:rFonts w:ascii="宋体" w:hAnsi="宋体" w:eastAsia="宋体" w:cs="宋体"/>
          <w:color w:val="000000"/>
        </w:rPr>
        <w:t xml:space="preserve">以上企业，不属于大企业的分支机构，不存在控股股东为大企业的情形，也不存在与大企业的负责人为同一人的情形。 </w:t>
      </w:r>
    </w:p>
    <w:p w14:paraId="148CD025">
      <w:pPr>
        <w:pStyle w:val="260"/>
        <w:spacing w:line="440" w:lineRule="exact"/>
        <w:rPr>
          <w:rStyle w:val="275"/>
          <w:rFonts w:ascii="宋体" w:hAnsi="宋体" w:eastAsia="宋体" w:cs="宋体"/>
          <w:color w:val="000000"/>
        </w:rPr>
      </w:pPr>
      <w:r>
        <w:rPr>
          <w:rStyle w:val="275"/>
          <w:rFonts w:ascii="宋体" w:hAnsi="宋体" w:eastAsia="宋体" w:cs="宋体"/>
          <w:color w:val="000000"/>
        </w:rPr>
        <w:t xml:space="preserve">本企业对上述声明内容的真实性负责。如有虚假，将依法承担相应责任。 </w:t>
      </w:r>
    </w:p>
    <w:p w14:paraId="2E554634">
      <w:pPr>
        <w:pStyle w:val="260"/>
        <w:spacing w:line="440" w:lineRule="exact"/>
        <w:rPr>
          <w:rStyle w:val="275"/>
          <w:rFonts w:ascii="宋体" w:hAnsi="宋体" w:eastAsia="宋体" w:cs="宋体"/>
          <w:color w:val="000000"/>
        </w:rPr>
      </w:pPr>
      <w:r>
        <w:rPr>
          <w:rStyle w:val="275"/>
          <w:rFonts w:ascii="宋体" w:hAnsi="宋体" w:eastAsia="宋体" w:cs="宋体"/>
          <w:color w:val="000000"/>
        </w:rPr>
        <w:t>企业名称（盖章）：   </w:t>
      </w:r>
    </w:p>
    <w:p w14:paraId="6BE91AB6">
      <w:pPr>
        <w:pStyle w:val="260"/>
        <w:spacing w:line="440" w:lineRule="exact"/>
        <w:rPr>
          <w:rStyle w:val="275"/>
          <w:rFonts w:ascii="宋体" w:hAnsi="宋体" w:eastAsia="宋体" w:cs="宋体"/>
        </w:rPr>
      </w:pPr>
      <w:r>
        <w:rPr>
          <w:rStyle w:val="275"/>
          <w:rFonts w:ascii="宋体" w:hAnsi="宋体" w:eastAsia="宋体" w:cs="宋体"/>
          <w:color w:val="000000"/>
        </w:rPr>
        <w:t>日期：   </w:t>
      </w:r>
    </w:p>
    <w:p w14:paraId="6DBB607F">
      <w:pPr>
        <w:pStyle w:val="260"/>
        <w:spacing w:before="240" w:after="240"/>
        <w:rPr>
          <w:rFonts w:ascii="宋体" w:hAnsi="宋体" w:eastAsia="宋体" w:cs="宋体"/>
        </w:rPr>
      </w:pPr>
      <w:r>
        <w:rPr>
          <w:rFonts w:ascii="宋体" w:hAnsi="宋体" w:eastAsia="宋体" w:cs="宋体"/>
          <w:sz w:val="21"/>
          <w:szCs w:val="22"/>
        </w:rPr>
        <w:t>注：供应商对照《关于印发中小企业划型标准规定的通知》（工信部联企业【2011】300号）中的标准，明确标的承接企业所属企业类型。</w:t>
      </w:r>
    </w:p>
    <w:p w14:paraId="3843B565">
      <w:pPr>
        <w:pStyle w:val="260"/>
        <w:spacing w:before="240" w:after="240"/>
        <w:rPr>
          <w:rFonts w:ascii="宋体" w:hAnsi="宋体" w:eastAsia="宋体" w:cs="宋体"/>
        </w:rPr>
      </w:pPr>
      <w:r>
        <w:rPr>
          <w:rFonts w:ascii="宋体" w:hAnsi="宋体" w:eastAsia="宋体" w:cs="宋体"/>
          <w:sz w:val="21"/>
          <w:szCs w:val="22"/>
        </w:rPr>
        <w:t>备注：1.从业人员、营业收入、资产总额填报上一年度数据，无上一年度数据的新成立企业可不填报。</w:t>
      </w:r>
    </w:p>
    <w:p w14:paraId="5046C2F4">
      <w:pPr>
        <w:pStyle w:val="260"/>
        <w:spacing w:before="240" w:after="240"/>
        <w:rPr>
          <w:rFonts w:ascii="宋体" w:hAnsi="宋体" w:eastAsia="宋体" w:cs="宋体"/>
          <w:sz w:val="21"/>
          <w:szCs w:val="21"/>
        </w:rPr>
      </w:pPr>
      <w:r>
        <w:rPr>
          <w:rFonts w:ascii="宋体" w:hAnsi="宋体" w:eastAsia="宋体" w:cs="宋体"/>
          <w:sz w:val="21"/>
          <w:szCs w:val="21"/>
        </w:rPr>
        <w:t>2.涉及多个采购标的的项目，供应商应当</w:t>
      </w:r>
      <w:r>
        <w:rPr>
          <w:rFonts w:ascii="宋体" w:hAnsi="宋体" w:eastAsia="宋体" w:cs="宋体"/>
          <w:b/>
          <w:bCs/>
          <w:sz w:val="21"/>
          <w:szCs w:val="21"/>
        </w:rPr>
        <w:t>逐一填报与采购项目属性一致的每个采购标的（主要采购标的，不包括配件、辅料等</w:t>
      </w:r>
      <w:r>
        <w:rPr>
          <w:rFonts w:ascii="宋体" w:hAnsi="宋体" w:eastAsia="宋体" w:cs="宋体"/>
          <w:sz w:val="21"/>
          <w:szCs w:val="21"/>
        </w:rPr>
        <w:t>）的制造商或者承建（承接）供应商信息。</w:t>
      </w:r>
    </w:p>
    <w:p w14:paraId="4F7F254B">
      <w:pPr>
        <w:pStyle w:val="260"/>
        <w:spacing w:before="240" w:after="240"/>
        <w:rPr>
          <w:rStyle w:val="275"/>
          <w:rFonts w:ascii="宋体" w:hAnsi="宋体" w:eastAsia="宋体" w:cs="宋体"/>
          <w:sz w:val="21"/>
          <w:szCs w:val="21"/>
        </w:rPr>
      </w:pPr>
      <w:r>
        <w:rPr>
          <w:rStyle w:val="275"/>
          <w:rFonts w:hint="eastAsia" w:ascii="宋体" w:hAnsi="宋体" w:eastAsia="宋体" w:cs="宋体"/>
          <w:sz w:val="21"/>
          <w:szCs w:val="21"/>
        </w:rPr>
        <w:t>3.</w:t>
      </w:r>
      <w:r>
        <w:rPr>
          <w:rStyle w:val="275"/>
          <w:rFonts w:ascii="宋体" w:hAnsi="宋体" w:eastAsia="宋体" w:cs="宋体"/>
          <w:sz w:val="21"/>
          <w:szCs w:val="21"/>
        </w:rPr>
        <w:t>在服务采购项目中，服务由中小企业承接，即提供服务的人员为中小企业依照《中华人民共和国劳动合同法》订立劳动合同的从业人员。</w:t>
      </w:r>
      <w:r>
        <w:rPr>
          <w:rStyle w:val="275"/>
          <w:rFonts w:ascii="宋体" w:hAnsi="宋体" w:eastAsia="宋体" w:cs="宋体"/>
          <w:b/>
          <w:bCs/>
          <w:sz w:val="21"/>
          <w:szCs w:val="21"/>
        </w:rPr>
        <w:t>服务类项目中供应商若使用退休人员，将不享受相应扶持政策。</w:t>
      </w:r>
    </w:p>
    <w:p w14:paraId="76E9C90D">
      <w:pPr>
        <w:pStyle w:val="260"/>
        <w:spacing w:line="440" w:lineRule="exact"/>
        <w:rPr>
          <w:rFonts w:ascii="宋体" w:hAnsi="宋体" w:eastAsia="宋体" w:cs="宋体"/>
          <w:sz w:val="21"/>
          <w:szCs w:val="21"/>
        </w:rPr>
      </w:pPr>
      <w:r>
        <w:rPr>
          <w:rFonts w:hint="eastAsia" w:ascii="宋体" w:hAnsi="宋体" w:eastAsia="宋体" w:cs="宋体"/>
          <w:sz w:val="21"/>
          <w:szCs w:val="21"/>
        </w:rPr>
        <w:t>4.</w:t>
      </w:r>
      <w:r>
        <w:rPr>
          <w:rFonts w:ascii="宋体" w:hAnsi="宋体" w:eastAsia="宋体" w:cs="宋体"/>
          <w:sz w:val="21"/>
          <w:szCs w:val="21"/>
        </w:rPr>
        <w:t>若供应商对照《政府采购促进中小企业发展管理办法》 (财库〔2020〕46号)中的规定，明确不符合</w:t>
      </w:r>
      <w:r>
        <w:rPr>
          <w:rFonts w:hint="eastAsia" w:ascii="宋体" w:hAnsi="宋体" w:eastAsia="宋体" w:cs="宋体"/>
          <w:sz w:val="21"/>
          <w:szCs w:val="21"/>
        </w:rPr>
        <w:t>中小企业</w:t>
      </w:r>
      <w:r>
        <w:rPr>
          <w:rFonts w:ascii="宋体" w:hAnsi="宋体" w:eastAsia="宋体" w:cs="宋体"/>
          <w:sz w:val="21"/>
          <w:szCs w:val="21"/>
        </w:rPr>
        <w:t xml:space="preserve">的，则无需提供此声明函。 </w:t>
      </w:r>
    </w:p>
    <w:p w14:paraId="7176A7DD">
      <w:pPr>
        <w:pStyle w:val="260"/>
        <w:spacing w:before="240" w:after="240"/>
        <w:rPr>
          <w:rStyle w:val="294"/>
          <w:rFonts w:ascii="Times New Roman" w:hAnsi="Times New Roman"/>
          <w:sz w:val="24"/>
          <w:szCs w:val="24"/>
        </w:rPr>
      </w:pPr>
      <w:r>
        <w:rPr>
          <w:rStyle w:val="294"/>
          <w:rFonts w:ascii="Times New Roman" w:hAnsi="Times New Roman"/>
          <w:sz w:val="24"/>
          <w:szCs w:val="24"/>
        </w:rPr>
        <w:t>附：中小企业划型标准规定</w:t>
      </w:r>
    </w:p>
    <w:p w14:paraId="261935BE">
      <w:pPr>
        <w:pStyle w:val="260"/>
        <w:spacing w:before="240" w:after="240"/>
        <w:rPr>
          <w:rStyle w:val="294"/>
          <w:rFonts w:ascii="Times New Roman" w:hAnsi="Times New Roman"/>
          <w:sz w:val="24"/>
          <w:szCs w:val="24"/>
        </w:rPr>
      </w:pPr>
      <w:r>
        <w:rPr>
          <w:rStyle w:val="294"/>
          <w:rFonts w:ascii="Times New Roman" w:hAnsi="Times New Roman"/>
          <w:sz w:val="24"/>
          <w:szCs w:val="24"/>
        </w:rPr>
        <w:t>（一）农、林、牧、渔业。营业收入20000万元以下的为中小微型企业。其中，营业收入500万元及以上的为中型企业，营业收入50万元及以上的为小型企业，营业收入50万元以下的为微型企业。</w:t>
      </w:r>
    </w:p>
    <w:p w14:paraId="5D7964CB">
      <w:pPr>
        <w:pStyle w:val="260"/>
        <w:spacing w:before="240" w:after="240"/>
        <w:rPr>
          <w:rStyle w:val="294"/>
          <w:rFonts w:ascii="Times New Roman" w:hAnsi="Times New Roman"/>
          <w:sz w:val="24"/>
          <w:szCs w:val="24"/>
        </w:rPr>
      </w:pPr>
      <w:r>
        <w:rPr>
          <w:rStyle w:val="294"/>
          <w:rFonts w:ascii="Times New Roman" w:hAnsi="Times New Roman"/>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80B2678">
      <w:pPr>
        <w:pStyle w:val="260"/>
        <w:spacing w:before="240" w:after="240"/>
        <w:rPr>
          <w:rStyle w:val="294"/>
          <w:rFonts w:ascii="Times New Roman" w:hAnsi="Times New Roman"/>
          <w:sz w:val="24"/>
          <w:szCs w:val="24"/>
        </w:rPr>
      </w:pPr>
      <w:r>
        <w:rPr>
          <w:rStyle w:val="294"/>
          <w:rFonts w:ascii="Times New Roman" w:hAnsi="Times New Roman"/>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3BF826D1">
      <w:pPr>
        <w:pStyle w:val="260"/>
        <w:spacing w:before="240" w:after="240"/>
        <w:rPr>
          <w:rStyle w:val="294"/>
          <w:rFonts w:ascii="Times New Roman" w:hAnsi="Times New Roman"/>
          <w:sz w:val="24"/>
          <w:szCs w:val="24"/>
        </w:rPr>
      </w:pPr>
      <w:r>
        <w:rPr>
          <w:rStyle w:val="294"/>
          <w:rFonts w:ascii="Times New Roman" w:hAnsi="Times New Roman"/>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F8804FC">
      <w:pPr>
        <w:pStyle w:val="260"/>
        <w:spacing w:before="240" w:after="240"/>
        <w:rPr>
          <w:rStyle w:val="294"/>
          <w:rFonts w:ascii="Times New Roman" w:hAnsi="Times New Roman"/>
          <w:sz w:val="24"/>
          <w:szCs w:val="24"/>
        </w:rPr>
      </w:pPr>
      <w:r>
        <w:rPr>
          <w:rStyle w:val="294"/>
          <w:rFonts w:ascii="Times New Roman" w:hAnsi="Times New Roman"/>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07AE81D">
      <w:pPr>
        <w:pStyle w:val="260"/>
        <w:spacing w:before="240" w:after="240"/>
        <w:rPr>
          <w:rStyle w:val="294"/>
          <w:rFonts w:ascii="Times New Roman" w:hAnsi="Times New Roman"/>
          <w:sz w:val="24"/>
          <w:szCs w:val="24"/>
        </w:rPr>
      </w:pPr>
      <w:r>
        <w:rPr>
          <w:rStyle w:val="294"/>
          <w:rFonts w:ascii="Times New Roman" w:hAnsi="Times New Roman"/>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15F8932C">
      <w:pPr>
        <w:pStyle w:val="260"/>
        <w:spacing w:before="240" w:after="240"/>
        <w:rPr>
          <w:rStyle w:val="294"/>
          <w:rFonts w:ascii="Times New Roman" w:hAnsi="Times New Roman"/>
          <w:sz w:val="24"/>
          <w:szCs w:val="24"/>
        </w:rPr>
      </w:pPr>
      <w:r>
        <w:rPr>
          <w:rStyle w:val="294"/>
          <w:rFonts w:ascii="Times New Roman" w:hAnsi="Times New Roman"/>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05FCE05">
      <w:pPr>
        <w:pStyle w:val="260"/>
        <w:spacing w:before="240" w:after="240"/>
        <w:rPr>
          <w:rStyle w:val="294"/>
          <w:rFonts w:ascii="Times New Roman" w:hAnsi="Times New Roman"/>
          <w:sz w:val="24"/>
          <w:szCs w:val="24"/>
        </w:rPr>
      </w:pPr>
      <w:r>
        <w:rPr>
          <w:rStyle w:val="294"/>
          <w:rFonts w:ascii="Times New Roman" w:hAnsi="Times New Roman"/>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1A04B4E">
      <w:pPr>
        <w:pStyle w:val="260"/>
        <w:spacing w:before="240" w:after="240"/>
        <w:rPr>
          <w:rStyle w:val="294"/>
          <w:rFonts w:ascii="Times New Roman" w:hAnsi="Times New Roman"/>
          <w:sz w:val="24"/>
          <w:szCs w:val="24"/>
        </w:rPr>
      </w:pPr>
      <w:r>
        <w:rPr>
          <w:rStyle w:val="294"/>
          <w:rFonts w:ascii="Times New Roman" w:hAnsi="Times New Roman"/>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88FC82D">
      <w:pPr>
        <w:pStyle w:val="260"/>
        <w:spacing w:before="240" w:after="240"/>
        <w:rPr>
          <w:rStyle w:val="294"/>
          <w:rFonts w:ascii="Times New Roman" w:hAnsi="Times New Roman"/>
          <w:sz w:val="24"/>
          <w:szCs w:val="24"/>
        </w:rPr>
      </w:pPr>
      <w:r>
        <w:rPr>
          <w:rStyle w:val="294"/>
          <w:rFonts w:ascii="Times New Roman" w:hAnsi="Times New Roman"/>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E9DEEE">
      <w:pPr>
        <w:pStyle w:val="260"/>
        <w:spacing w:before="240" w:after="240"/>
        <w:rPr>
          <w:rStyle w:val="294"/>
          <w:rFonts w:ascii="Times New Roman" w:hAnsi="Times New Roman"/>
          <w:sz w:val="24"/>
          <w:szCs w:val="24"/>
        </w:rPr>
      </w:pPr>
      <w:r>
        <w:rPr>
          <w:rStyle w:val="294"/>
          <w:rFonts w:ascii="Times New Roman" w:hAnsi="Times New Roman"/>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B67F878">
      <w:pPr>
        <w:pStyle w:val="260"/>
        <w:spacing w:before="240" w:after="240"/>
        <w:rPr>
          <w:rStyle w:val="294"/>
          <w:rFonts w:ascii="Times New Roman" w:hAnsi="Times New Roman"/>
          <w:sz w:val="24"/>
          <w:szCs w:val="24"/>
        </w:rPr>
      </w:pPr>
      <w:r>
        <w:rPr>
          <w:rStyle w:val="294"/>
          <w:rFonts w:ascii="Times New Roman" w:hAnsi="Times New Roman"/>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AF10E2A">
      <w:pPr>
        <w:pStyle w:val="260"/>
        <w:spacing w:before="240" w:after="240"/>
        <w:rPr>
          <w:rStyle w:val="294"/>
          <w:rFonts w:ascii="Times New Roman" w:hAnsi="Times New Roman"/>
          <w:sz w:val="24"/>
          <w:szCs w:val="24"/>
        </w:rPr>
      </w:pPr>
      <w:r>
        <w:rPr>
          <w:rStyle w:val="294"/>
          <w:rFonts w:ascii="Times New Roman" w:hAnsi="Times New Roman"/>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F5ABEC">
      <w:pPr>
        <w:pStyle w:val="260"/>
        <w:spacing w:before="240" w:after="240"/>
        <w:rPr>
          <w:rStyle w:val="294"/>
          <w:rFonts w:ascii="Times New Roman" w:hAnsi="Times New Roman"/>
          <w:sz w:val="24"/>
          <w:szCs w:val="24"/>
        </w:rPr>
      </w:pPr>
      <w:r>
        <w:rPr>
          <w:rStyle w:val="294"/>
          <w:rFonts w:ascii="Times New Roman" w:hAnsi="Times New Roman"/>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1D6C1F4A">
      <w:pPr>
        <w:pStyle w:val="260"/>
        <w:spacing w:before="240" w:after="240"/>
        <w:rPr>
          <w:rStyle w:val="294"/>
          <w:rFonts w:ascii="Times New Roman" w:hAnsi="Times New Roman"/>
          <w:sz w:val="24"/>
          <w:szCs w:val="24"/>
        </w:rPr>
      </w:pPr>
      <w:r>
        <w:rPr>
          <w:rStyle w:val="294"/>
          <w:rFonts w:ascii="Times New Roman" w:hAnsi="Times New Roman"/>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4917849">
      <w:pPr>
        <w:pStyle w:val="260"/>
        <w:spacing w:before="240" w:after="240"/>
        <w:rPr>
          <w:rStyle w:val="294"/>
          <w:rFonts w:ascii="Times New Roman" w:hAnsi="Times New Roman"/>
          <w:sz w:val="24"/>
          <w:szCs w:val="24"/>
        </w:rPr>
        <w:sectPr>
          <w:footerReference r:id="rId12" w:type="first"/>
          <w:footerReference r:id="rId11" w:type="default"/>
          <w:pgSz w:w="11906" w:h="16838"/>
          <w:pgMar w:top="1440" w:right="1080" w:bottom="1440" w:left="1080" w:header="851" w:footer="992" w:gutter="0"/>
          <w:cols w:space="1701" w:num="1"/>
          <w:docGrid w:linePitch="360" w:charSpace="0"/>
        </w:sectPr>
      </w:pPr>
      <w:r>
        <w:rPr>
          <w:rStyle w:val="294"/>
          <w:rFonts w:ascii="Times New Roman" w:hAnsi="Times New Roman"/>
          <w:sz w:val="24"/>
          <w:szCs w:val="24"/>
        </w:rPr>
        <w:t>（十六）其他未列明行业。从业人员300人以下的为中小微型企业。其中，从业人员100人及以上的为中型企业；从业人员10人及以上的为小型企业；从业人员10人以下的为微型企业。</w:t>
      </w:r>
    </w:p>
    <w:p w14:paraId="0A6C7D1B">
      <w:pPr>
        <w:pStyle w:val="243"/>
        <w:pageBreakBefore/>
        <w:numPr>
          <w:ilvl w:val="0"/>
          <w:numId w:val="17"/>
        </w:numPr>
        <w:ind w:left="0" w:firstLine="0"/>
        <w:jc w:val="center"/>
        <w:rPr>
          <w:rFonts w:ascii="Times New Roman" w:hAnsi="Times New Roman" w:cs="Times New Roman"/>
          <w:b/>
          <w:bCs/>
          <w:sz w:val="32"/>
          <w:szCs w:val="32"/>
        </w:rPr>
      </w:pPr>
      <w:r>
        <w:rPr>
          <w:rFonts w:hint="eastAsia" w:ascii="Times New Roman" w:hAnsi="Times New Roman" w:cs="Times New Roman"/>
          <w:b/>
          <w:bCs/>
          <w:sz w:val="32"/>
          <w:szCs w:val="32"/>
        </w:rPr>
        <w:t>残疾人福利性单位声明函</w:t>
      </w:r>
      <w:r>
        <w:rPr>
          <w:rFonts w:hint="eastAsia"/>
          <w:b/>
          <w:sz w:val="32"/>
          <w:szCs w:val="32"/>
        </w:rPr>
        <w:t>（专门面向中小企业）</w:t>
      </w:r>
    </w:p>
    <w:p w14:paraId="729FF2BE"/>
    <w:p w14:paraId="19FDDECC"/>
    <w:p w14:paraId="2966ED56">
      <w:pPr>
        <w:pStyle w:val="267"/>
        <w:spacing w:before="240" w:after="240"/>
        <w:rPr>
          <w:rStyle w:val="275"/>
          <w:rFonts w:ascii="宋体" w:hAnsi="宋体" w:eastAsia="宋体" w:cs="宋体"/>
        </w:rPr>
      </w:pPr>
      <w:r>
        <w:rPr>
          <w:rStyle w:val="275"/>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p>
    <w:p w14:paraId="6F645E57">
      <w:pPr>
        <w:pStyle w:val="267"/>
        <w:spacing w:before="240" w:after="240"/>
        <w:rPr>
          <w:rStyle w:val="275"/>
          <w:rFonts w:ascii="宋体" w:hAnsi="宋体" w:eastAsia="宋体" w:cs="宋体"/>
        </w:rPr>
      </w:pPr>
      <w:r>
        <w:rPr>
          <w:rStyle w:val="275"/>
          <w:rFonts w:ascii="宋体" w:hAnsi="宋体" w:eastAsia="宋体" w:cs="宋体"/>
          <w:color w:val="000000"/>
        </w:rPr>
        <w:t>本单位对上述声明的真实性负责。如有虚假，将依法承担相应责任。</w:t>
      </w:r>
    </w:p>
    <w:p w14:paraId="26DCA147">
      <w:pPr>
        <w:pStyle w:val="267"/>
        <w:spacing w:before="240" w:after="240"/>
        <w:jc w:val="center"/>
        <w:rPr>
          <w:rStyle w:val="275"/>
          <w:rFonts w:ascii="宋体" w:hAnsi="宋体" w:eastAsia="宋体" w:cs="宋体"/>
        </w:rPr>
      </w:pPr>
      <w:r>
        <w:rPr>
          <w:rStyle w:val="275"/>
          <w:rFonts w:ascii="宋体" w:hAnsi="宋体" w:eastAsia="宋体" w:cs="宋体"/>
          <w:color w:val="000000"/>
        </w:rPr>
        <w:t> </w:t>
      </w:r>
    </w:p>
    <w:p w14:paraId="486AFB3E">
      <w:pPr>
        <w:pStyle w:val="267"/>
        <w:spacing w:before="240" w:after="240"/>
        <w:jc w:val="center"/>
        <w:rPr>
          <w:rStyle w:val="275"/>
          <w:rFonts w:ascii="宋体" w:hAnsi="宋体" w:eastAsia="宋体" w:cs="宋体"/>
        </w:rPr>
      </w:pPr>
      <w:r>
        <w:rPr>
          <w:rStyle w:val="275"/>
          <w:rFonts w:ascii="宋体" w:hAnsi="宋体" w:eastAsia="宋体" w:cs="宋体"/>
          <w:color w:val="000000"/>
        </w:rPr>
        <w:t> </w:t>
      </w:r>
    </w:p>
    <w:p w14:paraId="60B68291">
      <w:pPr>
        <w:pStyle w:val="267"/>
        <w:spacing w:before="240" w:after="240"/>
        <w:rPr>
          <w:rStyle w:val="275"/>
          <w:rFonts w:ascii="宋体" w:hAnsi="宋体" w:eastAsia="宋体" w:cs="宋体"/>
        </w:rPr>
      </w:pPr>
      <w:r>
        <w:rPr>
          <w:rStyle w:val="275"/>
          <w:rFonts w:ascii="宋体" w:hAnsi="宋体" w:eastAsia="宋体" w:cs="宋体"/>
          <w:color w:val="000000"/>
        </w:rPr>
        <w:t>单位名称（盖章）：   </w:t>
      </w:r>
    </w:p>
    <w:p w14:paraId="3F8714E0">
      <w:pPr>
        <w:pStyle w:val="267"/>
        <w:spacing w:before="240" w:after="240"/>
        <w:rPr>
          <w:rStyle w:val="275"/>
          <w:rFonts w:ascii="宋体" w:hAnsi="宋体" w:eastAsia="宋体" w:cs="宋体"/>
        </w:rPr>
      </w:pPr>
      <w:r>
        <w:rPr>
          <w:rStyle w:val="275"/>
          <w:rFonts w:ascii="宋体" w:hAnsi="宋体" w:eastAsia="宋体" w:cs="宋体"/>
          <w:color w:val="000000"/>
        </w:rPr>
        <w:t>日期：   </w:t>
      </w:r>
    </w:p>
    <w:p w14:paraId="5274B893">
      <w:pPr>
        <w:pStyle w:val="267"/>
        <w:spacing w:before="240" w:after="240"/>
        <w:rPr>
          <w:rStyle w:val="275"/>
          <w:rFonts w:ascii="宋体" w:hAnsi="宋体" w:eastAsia="宋体" w:cs="宋体"/>
        </w:rPr>
      </w:pPr>
      <w:r>
        <w:rPr>
          <w:rStyle w:val="275"/>
          <w:rFonts w:ascii="宋体" w:hAnsi="宋体" w:eastAsia="宋体" w:cs="宋体"/>
          <w:color w:val="000000"/>
        </w:rPr>
        <w:t>注：1、符合《关于促进残疾人就业政府采购政策的通知》（财库〔2017〕141号）规定条件的残疾人福利性单位在参加政府采购活动时，应当提供《残疾人福利性单位声明函》，并对声明的真实性负责。</w:t>
      </w:r>
    </w:p>
    <w:p w14:paraId="41614A4D">
      <w:pPr>
        <w:pStyle w:val="267"/>
        <w:spacing w:before="240" w:after="240"/>
        <w:rPr>
          <w:rStyle w:val="275"/>
          <w:rFonts w:ascii="宋体" w:hAnsi="宋体" w:eastAsia="宋体" w:cs="宋体"/>
        </w:rPr>
      </w:pPr>
      <w:r>
        <w:rPr>
          <w:rStyle w:val="275"/>
          <w:rFonts w:ascii="宋体" w:hAnsi="宋体" w:eastAsia="宋体" w:cs="宋体"/>
          <w:color w:val="000000"/>
        </w:rPr>
        <w:t>供应商提供的《残疾人福利性单位声明函》与事实不符的，依照《政府采购法》第七十七条第一款的规定追究法律责任。</w:t>
      </w:r>
    </w:p>
    <w:p w14:paraId="321559BB">
      <w:pPr>
        <w:pStyle w:val="267"/>
        <w:spacing w:before="240" w:after="240"/>
        <w:rPr>
          <w:rStyle w:val="275"/>
          <w:rFonts w:ascii="宋体" w:hAnsi="宋体" w:eastAsia="宋体" w:cs="宋体"/>
        </w:rPr>
      </w:pPr>
      <w:r>
        <w:rPr>
          <w:rStyle w:val="275"/>
          <w:rFonts w:ascii="宋体" w:hAnsi="宋体" w:eastAsia="宋体" w:cs="宋体"/>
          <w:color w:val="000000"/>
        </w:rPr>
        <w:t>中标、成交供应商为残疾人福利性单位的，采购人或者其委托的采购代理机构应当随中标、成交结果同时公告其《残疾人福利性单位声明函》，接受社会监督。</w:t>
      </w:r>
    </w:p>
    <w:p w14:paraId="355AB893">
      <w:pPr>
        <w:pStyle w:val="267"/>
        <w:spacing w:before="240" w:after="240"/>
        <w:rPr>
          <w:rStyle w:val="275"/>
          <w:rFonts w:ascii="宋体" w:hAnsi="宋体" w:eastAsia="宋体" w:cs="宋体"/>
        </w:rPr>
      </w:pPr>
      <w:r>
        <w:rPr>
          <w:rStyle w:val="275"/>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p>
    <w:p w14:paraId="67334434">
      <w:pPr>
        <w:ind w:firstLine="648"/>
        <w:jc w:val="left"/>
      </w:pPr>
    </w:p>
    <w:p w14:paraId="79E54D81">
      <w:pPr>
        <w:pStyle w:val="243"/>
        <w:pageBreakBefore/>
        <w:numPr>
          <w:ilvl w:val="0"/>
          <w:numId w:val="17"/>
        </w:numPr>
        <w:ind w:left="0" w:firstLine="0"/>
        <w:jc w:val="center"/>
        <w:rPr>
          <w:rFonts w:ascii="Times New Roman" w:hAnsi="Times New Roman" w:cs="Times New Roman"/>
          <w:b/>
          <w:bCs/>
          <w:sz w:val="32"/>
          <w:szCs w:val="32"/>
        </w:rPr>
      </w:pPr>
      <w:r>
        <w:rPr>
          <w:rFonts w:hint="eastAsia" w:ascii="Times New Roman" w:hAnsi="Times New Roman" w:cs="Times New Roman"/>
          <w:b/>
          <w:bCs/>
          <w:sz w:val="32"/>
          <w:szCs w:val="32"/>
        </w:rPr>
        <w:t>监狱企业的证明文件</w:t>
      </w:r>
      <w:r>
        <w:rPr>
          <w:rFonts w:hint="eastAsia"/>
          <w:b/>
          <w:sz w:val="32"/>
          <w:szCs w:val="32"/>
        </w:rPr>
        <w:t>（专门面向中小企业）</w:t>
      </w:r>
    </w:p>
    <w:p w14:paraId="2B624BC2">
      <w:pPr>
        <w:pStyle w:val="254"/>
        <w:spacing w:before="240" w:after="240"/>
        <w:ind w:firstLine="4560"/>
        <w:rPr>
          <w:rStyle w:val="203"/>
          <w:color w:val="000000"/>
        </w:rPr>
      </w:pPr>
    </w:p>
    <w:p w14:paraId="2C1485EA">
      <w:pPr>
        <w:pStyle w:val="269"/>
        <w:spacing w:line="440" w:lineRule="exact"/>
        <w:ind w:firstLine="480"/>
        <w:rPr>
          <w:rStyle w:val="275"/>
          <w:rFonts w:ascii="宋体" w:hAnsi="宋体" w:cs="宋体"/>
          <w:color w:val="000000"/>
          <w:sz w:val="24"/>
          <w:szCs w:val="24"/>
        </w:rPr>
      </w:pPr>
      <w:r>
        <w:rPr>
          <w:rStyle w:val="275"/>
          <w:rFonts w:hint="eastAsia" w:ascii="宋体" w:hAnsi="宋体" w:cs="宋体"/>
          <w:color w:val="000000"/>
          <w:sz w:val="24"/>
          <w:szCs w:val="24"/>
        </w:rPr>
        <w:t>注：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AD1843A">
      <w:pPr>
        <w:pStyle w:val="269"/>
        <w:rPr>
          <w:rStyle w:val="275"/>
          <w:rFonts w:ascii="等线" w:hAnsi="等线" w:eastAsia="等线"/>
        </w:rPr>
      </w:pPr>
      <w:r>
        <w:rPr>
          <w:rStyle w:val="275"/>
          <w:rFonts w:hint="eastAsia" w:ascii="等线" w:hAnsi="等线" w:eastAsia="等线"/>
          <w:color w:val="000000"/>
        </w:rPr>
        <w:t xml:space="preserve">      </w:t>
      </w:r>
    </w:p>
    <w:p w14:paraId="16A9EDC7">
      <w:pPr>
        <w:pStyle w:val="243"/>
        <w:numPr>
          <w:ilvl w:val="0"/>
          <w:numId w:val="0"/>
        </w:numPr>
        <w:ind w:firstLine="480"/>
        <w:rPr>
          <w:rStyle w:val="275"/>
          <w:b/>
          <w:sz w:val="24"/>
          <w:szCs w:val="22"/>
        </w:rPr>
      </w:pPr>
      <w:r>
        <w:rPr>
          <w:rStyle w:val="275"/>
          <w:rFonts w:hint="eastAsia"/>
          <w:color w:val="000000"/>
          <w:sz w:val="24"/>
          <w:szCs w:val="24"/>
        </w:rPr>
        <w:t>2、若供应商对照《关于政府采购支持监狱企业发展有关问题的通知》（财库〔2014〕68号）中的规定，明确不符合监狱企业条件的，则无需提供相关证明文件。</w:t>
      </w:r>
    </w:p>
    <w:bookmarkEnd w:id="205"/>
    <w:p w14:paraId="3260ADF5">
      <w:pPr>
        <w:pageBreakBefore/>
        <w:numPr>
          <w:ilvl w:val="0"/>
          <w:numId w:val="15"/>
        </w:numPr>
        <w:spacing w:before="120" w:after="120"/>
        <w:jc w:val="center"/>
        <w:outlineLvl w:val="1"/>
        <w:rPr>
          <w:rFonts w:ascii="宋体" w:hAnsi="宋体"/>
          <w:b/>
          <w:bCs/>
          <w:sz w:val="32"/>
          <w:szCs w:val="32"/>
        </w:rPr>
      </w:pPr>
      <w:bookmarkStart w:id="206" w:name="OLE_LINK16"/>
      <w:r>
        <w:rPr>
          <w:rFonts w:hint="eastAsia" w:ascii="宋体" w:hAnsi="宋体"/>
          <w:b/>
          <w:bCs/>
          <w:sz w:val="32"/>
          <w:szCs w:val="32"/>
        </w:rPr>
        <w:t>投标配置及分项报价表</w:t>
      </w:r>
    </w:p>
    <w:tbl>
      <w:tblPr>
        <w:tblStyle w:val="37"/>
        <w:tblW w:w="95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2"/>
        <w:gridCol w:w="2356"/>
        <w:gridCol w:w="889"/>
        <w:gridCol w:w="1421"/>
        <w:gridCol w:w="1068"/>
        <w:gridCol w:w="1067"/>
        <w:gridCol w:w="1068"/>
        <w:gridCol w:w="1067"/>
      </w:tblGrid>
      <w:tr w14:paraId="6ED15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662" w:type="dxa"/>
            <w:tcBorders>
              <w:tl2br w:val="nil"/>
              <w:tr2bl w:val="nil"/>
            </w:tcBorders>
            <w:vAlign w:val="center"/>
          </w:tcPr>
          <w:p w14:paraId="197585C0">
            <w:pPr>
              <w:spacing w:line="240" w:lineRule="auto"/>
              <w:ind w:firstLine="0"/>
              <w:jc w:val="center"/>
              <w:rPr>
                <w:sz w:val="24"/>
              </w:rPr>
            </w:pPr>
            <w:r>
              <w:rPr>
                <w:sz w:val="24"/>
              </w:rPr>
              <w:t>序号</w:t>
            </w:r>
          </w:p>
        </w:tc>
        <w:tc>
          <w:tcPr>
            <w:tcW w:w="2356" w:type="dxa"/>
            <w:tcBorders>
              <w:tl2br w:val="nil"/>
              <w:tr2bl w:val="nil"/>
            </w:tcBorders>
            <w:vAlign w:val="center"/>
          </w:tcPr>
          <w:p w14:paraId="7D13AA6D">
            <w:pPr>
              <w:spacing w:line="240" w:lineRule="auto"/>
              <w:ind w:firstLine="0"/>
              <w:jc w:val="center"/>
              <w:rPr>
                <w:sz w:val="24"/>
              </w:rPr>
            </w:pPr>
            <w:r>
              <w:rPr>
                <w:sz w:val="24"/>
              </w:rPr>
              <w:t>设备名称</w:t>
            </w:r>
          </w:p>
        </w:tc>
        <w:tc>
          <w:tcPr>
            <w:tcW w:w="889" w:type="dxa"/>
            <w:tcBorders>
              <w:tl2br w:val="nil"/>
              <w:tr2bl w:val="nil"/>
            </w:tcBorders>
            <w:vAlign w:val="center"/>
          </w:tcPr>
          <w:p w14:paraId="74FD66EC">
            <w:pPr>
              <w:spacing w:line="240" w:lineRule="auto"/>
              <w:ind w:firstLine="0"/>
              <w:jc w:val="center"/>
              <w:rPr>
                <w:sz w:val="24"/>
              </w:rPr>
            </w:pPr>
            <w:r>
              <w:rPr>
                <w:sz w:val="24"/>
              </w:rPr>
              <w:t>产地</w:t>
            </w:r>
          </w:p>
        </w:tc>
        <w:tc>
          <w:tcPr>
            <w:tcW w:w="1421" w:type="dxa"/>
            <w:tcBorders>
              <w:tl2br w:val="nil"/>
              <w:tr2bl w:val="nil"/>
            </w:tcBorders>
            <w:vAlign w:val="center"/>
          </w:tcPr>
          <w:p w14:paraId="4DD92CDD">
            <w:pPr>
              <w:spacing w:line="240" w:lineRule="auto"/>
              <w:ind w:firstLine="0"/>
              <w:jc w:val="center"/>
              <w:rPr>
                <w:sz w:val="24"/>
              </w:rPr>
            </w:pPr>
            <w:r>
              <w:rPr>
                <w:sz w:val="24"/>
              </w:rPr>
              <w:t>品牌型号</w:t>
            </w:r>
          </w:p>
        </w:tc>
        <w:tc>
          <w:tcPr>
            <w:tcW w:w="1068" w:type="dxa"/>
            <w:tcBorders>
              <w:tl2br w:val="nil"/>
              <w:tr2bl w:val="nil"/>
            </w:tcBorders>
            <w:vAlign w:val="center"/>
          </w:tcPr>
          <w:p w14:paraId="5A156E7C">
            <w:pPr>
              <w:spacing w:line="240" w:lineRule="auto"/>
              <w:ind w:firstLine="0"/>
              <w:jc w:val="center"/>
              <w:rPr>
                <w:sz w:val="24"/>
              </w:rPr>
            </w:pPr>
            <w:r>
              <w:rPr>
                <w:sz w:val="24"/>
              </w:rPr>
              <w:t>数量</w:t>
            </w:r>
          </w:p>
        </w:tc>
        <w:tc>
          <w:tcPr>
            <w:tcW w:w="1067" w:type="dxa"/>
            <w:tcBorders>
              <w:tl2br w:val="nil"/>
              <w:tr2bl w:val="nil"/>
            </w:tcBorders>
            <w:vAlign w:val="center"/>
          </w:tcPr>
          <w:p w14:paraId="02903AEA">
            <w:pPr>
              <w:spacing w:line="240" w:lineRule="auto"/>
              <w:ind w:firstLine="0"/>
              <w:jc w:val="center"/>
              <w:rPr>
                <w:sz w:val="24"/>
              </w:rPr>
            </w:pPr>
            <w:r>
              <w:rPr>
                <w:sz w:val="24"/>
              </w:rPr>
              <w:t>单位</w:t>
            </w:r>
          </w:p>
        </w:tc>
        <w:tc>
          <w:tcPr>
            <w:tcW w:w="1068" w:type="dxa"/>
            <w:tcBorders>
              <w:tl2br w:val="nil"/>
              <w:tr2bl w:val="nil"/>
            </w:tcBorders>
            <w:vAlign w:val="center"/>
          </w:tcPr>
          <w:p w14:paraId="7B6D7FD2">
            <w:pPr>
              <w:spacing w:line="240" w:lineRule="auto"/>
              <w:ind w:firstLine="0"/>
              <w:jc w:val="center"/>
              <w:rPr>
                <w:sz w:val="24"/>
              </w:rPr>
            </w:pPr>
            <w:r>
              <w:rPr>
                <w:sz w:val="24"/>
              </w:rPr>
              <w:t>单价（元）</w:t>
            </w:r>
          </w:p>
        </w:tc>
        <w:tc>
          <w:tcPr>
            <w:tcW w:w="1067" w:type="dxa"/>
            <w:tcBorders>
              <w:tl2br w:val="nil"/>
              <w:tr2bl w:val="nil"/>
            </w:tcBorders>
            <w:vAlign w:val="center"/>
          </w:tcPr>
          <w:p w14:paraId="040A65FD">
            <w:pPr>
              <w:spacing w:line="240" w:lineRule="auto"/>
              <w:ind w:firstLine="0"/>
              <w:jc w:val="center"/>
              <w:rPr>
                <w:sz w:val="24"/>
              </w:rPr>
            </w:pPr>
            <w:r>
              <w:rPr>
                <w:sz w:val="24"/>
              </w:rPr>
              <w:t>总价（元）</w:t>
            </w:r>
          </w:p>
        </w:tc>
      </w:tr>
      <w:tr w14:paraId="318B4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62" w:type="dxa"/>
            <w:tcBorders>
              <w:tl2br w:val="nil"/>
              <w:tr2bl w:val="nil"/>
            </w:tcBorders>
            <w:vAlign w:val="center"/>
          </w:tcPr>
          <w:p w14:paraId="6CF91E83">
            <w:pPr>
              <w:spacing w:line="240" w:lineRule="auto"/>
              <w:ind w:firstLine="0"/>
              <w:jc w:val="center"/>
              <w:rPr>
                <w:sz w:val="24"/>
              </w:rPr>
            </w:pPr>
            <w:r>
              <w:rPr>
                <w:sz w:val="24"/>
              </w:rPr>
              <w:t>1</w:t>
            </w:r>
          </w:p>
        </w:tc>
        <w:tc>
          <w:tcPr>
            <w:tcW w:w="2356" w:type="dxa"/>
            <w:tcBorders>
              <w:tl2br w:val="nil"/>
              <w:tr2bl w:val="nil"/>
            </w:tcBorders>
            <w:vAlign w:val="center"/>
          </w:tcPr>
          <w:p w14:paraId="13CBD1CD">
            <w:pPr>
              <w:spacing w:line="240" w:lineRule="auto"/>
              <w:ind w:firstLine="0"/>
              <w:jc w:val="center"/>
              <w:rPr>
                <w:sz w:val="24"/>
              </w:rPr>
            </w:pPr>
          </w:p>
        </w:tc>
        <w:tc>
          <w:tcPr>
            <w:tcW w:w="889" w:type="dxa"/>
            <w:tcBorders>
              <w:tl2br w:val="nil"/>
              <w:tr2bl w:val="nil"/>
            </w:tcBorders>
            <w:vAlign w:val="center"/>
          </w:tcPr>
          <w:p w14:paraId="768021D3">
            <w:pPr>
              <w:spacing w:line="240" w:lineRule="auto"/>
              <w:ind w:firstLine="0"/>
              <w:jc w:val="center"/>
              <w:rPr>
                <w:sz w:val="24"/>
              </w:rPr>
            </w:pPr>
          </w:p>
        </w:tc>
        <w:tc>
          <w:tcPr>
            <w:tcW w:w="1421" w:type="dxa"/>
            <w:tcBorders>
              <w:tl2br w:val="nil"/>
              <w:tr2bl w:val="nil"/>
            </w:tcBorders>
            <w:vAlign w:val="center"/>
          </w:tcPr>
          <w:p w14:paraId="7595A327">
            <w:pPr>
              <w:spacing w:line="240" w:lineRule="auto"/>
              <w:ind w:firstLine="0"/>
              <w:jc w:val="center"/>
              <w:rPr>
                <w:sz w:val="24"/>
              </w:rPr>
            </w:pPr>
          </w:p>
        </w:tc>
        <w:tc>
          <w:tcPr>
            <w:tcW w:w="1068" w:type="dxa"/>
            <w:tcBorders>
              <w:tl2br w:val="nil"/>
              <w:tr2bl w:val="nil"/>
            </w:tcBorders>
            <w:vAlign w:val="center"/>
          </w:tcPr>
          <w:p w14:paraId="350504A6">
            <w:pPr>
              <w:spacing w:line="240" w:lineRule="auto"/>
              <w:ind w:firstLine="0"/>
              <w:jc w:val="center"/>
              <w:rPr>
                <w:sz w:val="24"/>
              </w:rPr>
            </w:pPr>
          </w:p>
        </w:tc>
        <w:tc>
          <w:tcPr>
            <w:tcW w:w="1067" w:type="dxa"/>
            <w:tcBorders>
              <w:tl2br w:val="nil"/>
              <w:tr2bl w:val="nil"/>
            </w:tcBorders>
            <w:vAlign w:val="center"/>
          </w:tcPr>
          <w:p w14:paraId="6B1620EA">
            <w:pPr>
              <w:spacing w:line="240" w:lineRule="auto"/>
              <w:ind w:firstLine="0"/>
              <w:jc w:val="center"/>
              <w:rPr>
                <w:sz w:val="24"/>
              </w:rPr>
            </w:pPr>
          </w:p>
        </w:tc>
        <w:tc>
          <w:tcPr>
            <w:tcW w:w="1068" w:type="dxa"/>
            <w:tcBorders>
              <w:tl2br w:val="nil"/>
              <w:tr2bl w:val="nil"/>
            </w:tcBorders>
            <w:vAlign w:val="center"/>
          </w:tcPr>
          <w:p w14:paraId="6BE93773">
            <w:pPr>
              <w:spacing w:line="240" w:lineRule="auto"/>
              <w:ind w:firstLine="0"/>
              <w:jc w:val="center"/>
              <w:rPr>
                <w:sz w:val="24"/>
              </w:rPr>
            </w:pPr>
          </w:p>
        </w:tc>
        <w:tc>
          <w:tcPr>
            <w:tcW w:w="1067" w:type="dxa"/>
            <w:tcBorders>
              <w:tl2br w:val="nil"/>
              <w:tr2bl w:val="nil"/>
            </w:tcBorders>
            <w:vAlign w:val="center"/>
          </w:tcPr>
          <w:p w14:paraId="6002D732">
            <w:pPr>
              <w:spacing w:line="240" w:lineRule="auto"/>
              <w:ind w:firstLine="0"/>
              <w:jc w:val="center"/>
              <w:rPr>
                <w:sz w:val="24"/>
              </w:rPr>
            </w:pPr>
          </w:p>
        </w:tc>
      </w:tr>
      <w:tr w14:paraId="2A771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62" w:type="dxa"/>
            <w:tcBorders>
              <w:tl2br w:val="nil"/>
              <w:tr2bl w:val="nil"/>
            </w:tcBorders>
            <w:vAlign w:val="center"/>
          </w:tcPr>
          <w:p w14:paraId="27B3C4B4">
            <w:pPr>
              <w:spacing w:line="240" w:lineRule="auto"/>
              <w:ind w:firstLine="0"/>
              <w:jc w:val="center"/>
              <w:rPr>
                <w:sz w:val="24"/>
              </w:rPr>
            </w:pPr>
            <w:r>
              <w:rPr>
                <w:sz w:val="24"/>
              </w:rPr>
              <w:t>2</w:t>
            </w:r>
          </w:p>
        </w:tc>
        <w:tc>
          <w:tcPr>
            <w:tcW w:w="2356" w:type="dxa"/>
            <w:tcBorders>
              <w:tl2br w:val="nil"/>
              <w:tr2bl w:val="nil"/>
            </w:tcBorders>
            <w:vAlign w:val="center"/>
          </w:tcPr>
          <w:p w14:paraId="7B29666F">
            <w:pPr>
              <w:spacing w:line="240" w:lineRule="auto"/>
              <w:ind w:firstLine="0"/>
              <w:jc w:val="center"/>
              <w:rPr>
                <w:sz w:val="24"/>
              </w:rPr>
            </w:pPr>
          </w:p>
        </w:tc>
        <w:tc>
          <w:tcPr>
            <w:tcW w:w="889" w:type="dxa"/>
            <w:tcBorders>
              <w:tl2br w:val="nil"/>
              <w:tr2bl w:val="nil"/>
            </w:tcBorders>
            <w:vAlign w:val="center"/>
          </w:tcPr>
          <w:p w14:paraId="5577ABA5">
            <w:pPr>
              <w:spacing w:line="240" w:lineRule="auto"/>
              <w:ind w:firstLine="0"/>
              <w:jc w:val="center"/>
              <w:rPr>
                <w:sz w:val="24"/>
              </w:rPr>
            </w:pPr>
          </w:p>
        </w:tc>
        <w:tc>
          <w:tcPr>
            <w:tcW w:w="1421" w:type="dxa"/>
            <w:tcBorders>
              <w:tl2br w:val="nil"/>
              <w:tr2bl w:val="nil"/>
            </w:tcBorders>
            <w:vAlign w:val="center"/>
          </w:tcPr>
          <w:p w14:paraId="26519460">
            <w:pPr>
              <w:spacing w:line="240" w:lineRule="auto"/>
              <w:ind w:firstLine="0"/>
              <w:jc w:val="center"/>
              <w:rPr>
                <w:sz w:val="24"/>
              </w:rPr>
            </w:pPr>
          </w:p>
        </w:tc>
        <w:tc>
          <w:tcPr>
            <w:tcW w:w="1068" w:type="dxa"/>
            <w:tcBorders>
              <w:tl2br w:val="nil"/>
              <w:tr2bl w:val="nil"/>
            </w:tcBorders>
            <w:vAlign w:val="center"/>
          </w:tcPr>
          <w:p w14:paraId="446CEC7D">
            <w:pPr>
              <w:spacing w:line="240" w:lineRule="auto"/>
              <w:ind w:firstLine="0"/>
              <w:jc w:val="center"/>
              <w:rPr>
                <w:sz w:val="24"/>
              </w:rPr>
            </w:pPr>
          </w:p>
        </w:tc>
        <w:tc>
          <w:tcPr>
            <w:tcW w:w="1067" w:type="dxa"/>
            <w:tcBorders>
              <w:tl2br w:val="nil"/>
              <w:tr2bl w:val="nil"/>
            </w:tcBorders>
            <w:vAlign w:val="center"/>
          </w:tcPr>
          <w:p w14:paraId="3503513B">
            <w:pPr>
              <w:spacing w:line="240" w:lineRule="auto"/>
              <w:ind w:firstLine="0"/>
              <w:jc w:val="center"/>
              <w:rPr>
                <w:sz w:val="24"/>
              </w:rPr>
            </w:pPr>
          </w:p>
        </w:tc>
        <w:tc>
          <w:tcPr>
            <w:tcW w:w="1068" w:type="dxa"/>
            <w:tcBorders>
              <w:tl2br w:val="nil"/>
              <w:tr2bl w:val="nil"/>
            </w:tcBorders>
            <w:vAlign w:val="center"/>
          </w:tcPr>
          <w:p w14:paraId="56AF6AD3">
            <w:pPr>
              <w:spacing w:line="240" w:lineRule="auto"/>
              <w:ind w:firstLine="0"/>
              <w:jc w:val="center"/>
              <w:rPr>
                <w:sz w:val="24"/>
              </w:rPr>
            </w:pPr>
          </w:p>
        </w:tc>
        <w:tc>
          <w:tcPr>
            <w:tcW w:w="1067" w:type="dxa"/>
            <w:tcBorders>
              <w:tl2br w:val="nil"/>
              <w:tr2bl w:val="nil"/>
            </w:tcBorders>
            <w:vAlign w:val="center"/>
          </w:tcPr>
          <w:p w14:paraId="3E366502">
            <w:pPr>
              <w:spacing w:line="240" w:lineRule="auto"/>
              <w:ind w:firstLine="0"/>
              <w:jc w:val="center"/>
              <w:rPr>
                <w:sz w:val="24"/>
              </w:rPr>
            </w:pPr>
          </w:p>
        </w:tc>
      </w:tr>
      <w:tr w14:paraId="2E156D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0" w:hRule="atLeast"/>
          <w:jc w:val="center"/>
        </w:trPr>
        <w:tc>
          <w:tcPr>
            <w:tcW w:w="662" w:type="dxa"/>
            <w:tcBorders>
              <w:tl2br w:val="nil"/>
              <w:tr2bl w:val="nil"/>
            </w:tcBorders>
            <w:vAlign w:val="center"/>
          </w:tcPr>
          <w:p w14:paraId="164F7F98">
            <w:pPr>
              <w:spacing w:line="240" w:lineRule="auto"/>
              <w:ind w:firstLine="0"/>
              <w:jc w:val="center"/>
              <w:rPr>
                <w:sz w:val="24"/>
              </w:rPr>
            </w:pPr>
            <w:r>
              <w:rPr>
                <w:sz w:val="24"/>
              </w:rPr>
              <w:t>3</w:t>
            </w:r>
          </w:p>
        </w:tc>
        <w:tc>
          <w:tcPr>
            <w:tcW w:w="2356" w:type="dxa"/>
            <w:tcBorders>
              <w:tl2br w:val="nil"/>
              <w:tr2bl w:val="nil"/>
            </w:tcBorders>
            <w:vAlign w:val="center"/>
          </w:tcPr>
          <w:p w14:paraId="62ED2148">
            <w:pPr>
              <w:spacing w:line="240" w:lineRule="auto"/>
              <w:ind w:firstLine="0"/>
              <w:jc w:val="center"/>
              <w:rPr>
                <w:sz w:val="24"/>
              </w:rPr>
            </w:pPr>
          </w:p>
        </w:tc>
        <w:tc>
          <w:tcPr>
            <w:tcW w:w="889" w:type="dxa"/>
            <w:tcBorders>
              <w:tl2br w:val="nil"/>
              <w:tr2bl w:val="nil"/>
            </w:tcBorders>
            <w:vAlign w:val="center"/>
          </w:tcPr>
          <w:p w14:paraId="7360C6BD">
            <w:pPr>
              <w:spacing w:line="240" w:lineRule="auto"/>
              <w:ind w:firstLine="0"/>
              <w:jc w:val="center"/>
              <w:rPr>
                <w:sz w:val="24"/>
              </w:rPr>
            </w:pPr>
          </w:p>
        </w:tc>
        <w:tc>
          <w:tcPr>
            <w:tcW w:w="1421" w:type="dxa"/>
            <w:tcBorders>
              <w:tl2br w:val="nil"/>
              <w:tr2bl w:val="nil"/>
            </w:tcBorders>
            <w:vAlign w:val="center"/>
          </w:tcPr>
          <w:p w14:paraId="765BAE76">
            <w:pPr>
              <w:spacing w:line="240" w:lineRule="auto"/>
              <w:ind w:firstLine="0"/>
              <w:jc w:val="center"/>
              <w:rPr>
                <w:sz w:val="24"/>
              </w:rPr>
            </w:pPr>
          </w:p>
        </w:tc>
        <w:tc>
          <w:tcPr>
            <w:tcW w:w="1068" w:type="dxa"/>
            <w:tcBorders>
              <w:tl2br w:val="nil"/>
              <w:tr2bl w:val="nil"/>
            </w:tcBorders>
            <w:vAlign w:val="center"/>
          </w:tcPr>
          <w:p w14:paraId="260E9508">
            <w:pPr>
              <w:spacing w:line="240" w:lineRule="auto"/>
              <w:ind w:firstLine="0"/>
              <w:jc w:val="center"/>
              <w:rPr>
                <w:sz w:val="24"/>
              </w:rPr>
            </w:pPr>
          </w:p>
        </w:tc>
        <w:tc>
          <w:tcPr>
            <w:tcW w:w="1067" w:type="dxa"/>
            <w:tcBorders>
              <w:tl2br w:val="nil"/>
              <w:tr2bl w:val="nil"/>
            </w:tcBorders>
            <w:vAlign w:val="center"/>
          </w:tcPr>
          <w:p w14:paraId="63EA3548">
            <w:pPr>
              <w:spacing w:line="240" w:lineRule="auto"/>
              <w:ind w:firstLine="0"/>
              <w:jc w:val="center"/>
              <w:rPr>
                <w:sz w:val="24"/>
              </w:rPr>
            </w:pPr>
          </w:p>
        </w:tc>
        <w:tc>
          <w:tcPr>
            <w:tcW w:w="1068" w:type="dxa"/>
            <w:tcBorders>
              <w:tl2br w:val="nil"/>
              <w:tr2bl w:val="nil"/>
            </w:tcBorders>
            <w:vAlign w:val="center"/>
          </w:tcPr>
          <w:p w14:paraId="4B1D2389">
            <w:pPr>
              <w:spacing w:line="240" w:lineRule="auto"/>
              <w:ind w:firstLine="0"/>
              <w:jc w:val="center"/>
              <w:rPr>
                <w:sz w:val="24"/>
              </w:rPr>
            </w:pPr>
          </w:p>
        </w:tc>
        <w:tc>
          <w:tcPr>
            <w:tcW w:w="1067" w:type="dxa"/>
            <w:tcBorders>
              <w:tl2br w:val="nil"/>
              <w:tr2bl w:val="nil"/>
            </w:tcBorders>
            <w:vAlign w:val="center"/>
          </w:tcPr>
          <w:p w14:paraId="16283A85">
            <w:pPr>
              <w:spacing w:line="240" w:lineRule="auto"/>
              <w:ind w:firstLine="0"/>
              <w:jc w:val="center"/>
              <w:rPr>
                <w:sz w:val="24"/>
              </w:rPr>
            </w:pPr>
          </w:p>
        </w:tc>
      </w:tr>
      <w:tr w14:paraId="55C7E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662" w:type="dxa"/>
            <w:tcBorders>
              <w:tl2br w:val="nil"/>
              <w:tr2bl w:val="nil"/>
            </w:tcBorders>
            <w:vAlign w:val="center"/>
          </w:tcPr>
          <w:p w14:paraId="2CBCFEEB">
            <w:pPr>
              <w:spacing w:line="240" w:lineRule="auto"/>
              <w:ind w:firstLine="0"/>
              <w:jc w:val="center"/>
              <w:rPr>
                <w:sz w:val="24"/>
              </w:rPr>
            </w:pPr>
            <w:r>
              <w:rPr>
                <w:rFonts w:hint="eastAsia"/>
                <w:sz w:val="24"/>
              </w:rPr>
              <w:t>...</w:t>
            </w:r>
          </w:p>
        </w:tc>
        <w:tc>
          <w:tcPr>
            <w:tcW w:w="2356" w:type="dxa"/>
            <w:tcBorders>
              <w:tl2br w:val="nil"/>
              <w:tr2bl w:val="nil"/>
            </w:tcBorders>
            <w:vAlign w:val="center"/>
          </w:tcPr>
          <w:p w14:paraId="0E3B8C82">
            <w:pPr>
              <w:spacing w:line="240" w:lineRule="auto"/>
              <w:ind w:firstLine="0"/>
              <w:jc w:val="center"/>
              <w:rPr>
                <w:sz w:val="24"/>
              </w:rPr>
            </w:pPr>
            <w:r>
              <w:rPr>
                <w:rFonts w:hint="eastAsia"/>
                <w:sz w:val="24"/>
              </w:rPr>
              <w:t>...</w:t>
            </w:r>
          </w:p>
        </w:tc>
        <w:tc>
          <w:tcPr>
            <w:tcW w:w="889" w:type="dxa"/>
            <w:tcBorders>
              <w:tl2br w:val="nil"/>
              <w:tr2bl w:val="nil"/>
            </w:tcBorders>
            <w:vAlign w:val="center"/>
          </w:tcPr>
          <w:p w14:paraId="7AF82420">
            <w:pPr>
              <w:spacing w:line="240" w:lineRule="auto"/>
              <w:ind w:firstLine="0"/>
              <w:jc w:val="center"/>
              <w:rPr>
                <w:sz w:val="24"/>
              </w:rPr>
            </w:pPr>
          </w:p>
        </w:tc>
        <w:tc>
          <w:tcPr>
            <w:tcW w:w="1421" w:type="dxa"/>
            <w:tcBorders>
              <w:tl2br w:val="nil"/>
              <w:tr2bl w:val="nil"/>
            </w:tcBorders>
            <w:vAlign w:val="center"/>
          </w:tcPr>
          <w:p w14:paraId="1AF0E4A2">
            <w:pPr>
              <w:spacing w:line="240" w:lineRule="auto"/>
              <w:ind w:firstLine="0"/>
              <w:jc w:val="center"/>
              <w:rPr>
                <w:sz w:val="24"/>
              </w:rPr>
            </w:pPr>
          </w:p>
        </w:tc>
        <w:tc>
          <w:tcPr>
            <w:tcW w:w="1068" w:type="dxa"/>
            <w:tcBorders>
              <w:tl2br w:val="nil"/>
              <w:tr2bl w:val="nil"/>
            </w:tcBorders>
            <w:vAlign w:val="center"/>
          </w:tcPr>
          <w:p w14:paraId="772ECAFD">
            <w:pPr>
              <w:spacing w:line="240" w:lineRule="auto"/>
              <w:ind w:firstLine="0"/>
              <w:jc w:val="center"/>
              <w:rPr>
                <w:sz w:val="24"/>
              </w:rPr>
            </w:pPr>
          </w:p>
        </w:tc>
        <w:tc>
          <w:tcPr>
            <w:tcW w:w="1067" w:type="dxa"/>
            <w:tcBorders>
              <w:tl2br w:val="nil"/>
              <w:tr2bl w:val="nil"/>
            </w:tcBorders>
            <w:vAlign w:val="center"/>
          </w:tcPr>
          <w:p w14:paraId="48C674AA">
            <w:pPr>
              <w:spacing w:line="240" w:lineRule="auto"/>
              <w:ind w:firstLine="0"/>
              <w:jc w:val="center"/>
              <w:rPr>
                <w:sz w:val="24"/>
              </w:rPr>
            </w:pPr>
          </w:p>
        </w:tc>
        <w:tc>
          <w:tcPr>
            <w:tcW w:w="1068" w:type="dxa"/>
            <w:tcBorders>
              <w:tl2br w:val="nil"/>
              <w:tr2bl w:val="nil"/>
            </w:tcBorders>
            <w:vAlign w:val="center"/>
          </w:tcPr>
          <w:p w14:paraId="059E7D4D">
            <w:pPr>
              <w:spacing w:line="240" w:lineRule="auto"/>
              <w:ind w:firstLine="0"/>
              <w:jc w:val="center"/>
              <w:rPr>
                <w:sz w:val="24"/>
              </w:rPr>
            </w:pPr>
          </w:p>
        </w:tc>
        <w:tc>
          <w:tcPr>
            <w:tcW w:w="1067" w:type="dxa"/>
            <w:tcBorders>
              <w:tl2br w:val="nil"/>
              <w:tr2bl w:val="nil"/>
            </w:tcBorders>
            <w:vAlign w:val="center"/>
          </w:tcPr>
          <w:p w14:paraId="0B4B47AC">
            <w:pPr>
              <w:spacing w:line="240" w:lineRule="auto"/>
              <w:ind w:firstLine="0"/>
              <w:jc w:val="center"/>
              <w:rPr>
                <w:sz w:val="24"/>
              </w:rPr>
            </w:pPr>
          </w:p>
        </w:tc>
      </w:tr>
      <w:tr w14:paraId="79BBA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9598" w:type="dxa"/>
            <w:gridSpan w:val="8"/>
            <w:tcBorders>
              <w:tl2br w:val="nil"/>
              <w:tr2bl w:val="nil"/>
            </w:tcBorders>
            <w:vAlign w:val="center"/>
          </w:tcPr>
          <w:p w14:paraId="68825FB2">
            <w:pPr>
              <w:spacing w:line="240" w:lineRule="auto"/>
              <w:ind w:firstLine="0"/>
              <w:jc w:val="left"/>
              <w:rPr>
                <w:sz w:val="24"/>
              </w:rPr>
            </w:pPr>
            <w:r>
              <w:rPr>
                <w:b/>
                <w:sz w:val="24"/>
              </w:rPr>
              <w:t>合计</w:t>
            </w:r>
            <w:r>
              <w:rPr>
                <w:sz w:val="24"/>
              </w:rPr>
              <w:t>：                 元（大写：          ）</w:t>
            </w:r>
          </w:p>
        </w:tc>
      </w:tr>
    </w:tbl>
    <w:p w14:paraId="7B9433CB">
      <w:pPr>
        <w:pBdr>
          <w:top w:val="none" w:color="000000" w:sz="0" w:space="0"/>
          <w:left w:val="none" w:color="000000" w:sz="0" w:space="0"/>
          <w:bottom w:val="none" w:color="000000" w:sz="0" w:space="0"/>
          <w:right w:val="none" w:color="000000" w:sz="0" w:space="0"/>
        </w:pBdr>
        <w:spacing w:before="240" w:after="240"/>
        <w:ind w:firstLine="0"/>
        <w:rPr>
          <w:rFonts w:ascii="宋体" w:hAnsi="宋体" w:cs="宋体"/>
          <w:sz w:val="24"/>
        </w:rPr>
      </w:pPr>
    </w:p>
    <w:bookmarkEnd w:id="206"/>
    <w:p w14:paraId="1E1F3CBE">
      <w:pPr>
        <w:snapToGrid w:val="0"/>
        <w:spacing w:line="360" w:lineRule="auto"/>
        <w:ind w:firstLine="482"/>
        <w:rPr>
          <w:b/>
          <w:bCs/>
          <w:sz w:val="24"/>
        </w:rPr>
      </w:pPr>
      <w:r>
        <w:rPr>
          <w:b/>
          <w:bCs/>
          <w:sz w:val="24"/>
        </w:rPr>
        <w:t>注：</w:t>
      </w:r>
    </w:p>
    <w:p w14:paraId="7BB3C857">
      <w:pPr>
        <w:snapToGrid w:val="0"/>
        <w:spacing w:line="360" w:lineRule="auto"/>
        <w:ind w:firstLine="482"/>
        <w:jc w:val="left"/>
        <w:rPr>
          <w:rFonts w:ascii="宋体" w:hAnsi="宋体" w:cs="宋体"/>
          <w:b/>
          <w:bCs/>
          <w:sz w:val="24"/>
        </w:rPr>
      </w:pPr>
      <w:r>
        <w:rPr>
          <w:rFonts w:hint="eastAsia" w:ascii="宋体" w:hAnsi="宋体" w:cs="宋体"/>
          <w:b/>
          <w:bCs/>
          <w:sz w:val="24"/>
        </w:rPr>
        <w:t>1．以上表格中各项可进一步细分，栏数不够可自加，要求按功能模块细分项目及报价；技术要求详见招标文件第四章项目需求；此表的总计金额应与开标一览表相符，如有不符，以开标一览表为准。</w:t>
      </w:r>
    </w:p>
    <w:p w14:paraId="569CA5A5">
      <w:pPr>
        <w:snapToGrid w:val="0"/>
        <w:spacing w:line="360" w:lineRule="auto"/>
        <w:ind w:firstLine="482"/>
        <w:jc w:val="left"/>
        <w:rPr>
          <w:rFonts w:ascii="宋体" w:hAnsi="宋体" w:cs="宋体"/>
          <w:b/>
          <w:bCs/>
          <w:sz w:val="24"/>
        </w:rPr>
      </w:pPr>
      <w:r>
        <w:rPr>
          <w:rFonts w:hint="eastAsia" w:ascii="宋体" w:hAnsi="宋体" w:cs="宋体"/>
          <w:b/>
          <w:bCs/>
          <w:sz w:val="24"/>
        </w:rPr>
        <w:t>2．请提供本标书要求设备详细的配置清单及分项报价，包括标准件及选购件。</w:t>
      </w:r>
    </w:p>
    <w:p w14:paraId="4511557D">
      <w:pPr>
        <w:snapToGrid w:val="0"/>
        <w:spacing w:line="360" w:lineRule="auto"/>
        <w:ind w:firstLine="482"/>
        <w:jc w:val="left"/>
      </w:pPr>
      <w:bookmarkStart w:id="207" w:name="_Toc3950"/>
      <w:r>
        <w:rPr>
          <w:rFonts w:hint="eastAsia" w:ascii="宋体" w:hAnsi="宋体" w:cs="宋体"/>
          <w:b/>
          <w:bCs/>
          <w:sz w:val="24"/>
        </w:rPr>
        <w:t>3．若无品牌，可填“自制”。</w:t>
      </w:r>
      <w:bookmarkEnd w:id="207"/>
      <w:r>
        <w:rPr>
          <w:rFonts w:hint="eastAsia" w:ascii="宋体" w:hAnsi="宋体" w:cs="宋体"/>
          <w:b/>
          <w:bCs/>
          <w:sz w:val="24"/>
        </w:rPr>
        <w:t xml:space="preserve"> </w:t>
      </w:r>
    </w:p>
    <w:p w14:paraId="31730461"/>
    <w:p w14:paraId="6A16DAD8">
      <w:pPr>
        <w:pageBreakBefore/>
        <w:numPr>
          <w:ilvl w:val="0"/>
          <w:numId w:val="15"/>
        </w:numPr>
        <w:spacing w:before="120" w:after="120"/>
        <w:jc w:val="center"/>
        <w:outlineLvl w:val="1"/>
        <w:rPr>
          <w:rFonts w:ascii="宋体" w:hAnsi="宋体"/>
          <w:b/>
          <w:bCs/>
          <w:sz w:val="32"/>
          <w:szCs w:val="32"/>
        </w:rPr>
      </w:pPr>
      <w:bookmarkStart w:id="208" w:name="_Toc32716"/>
      <w:bookmarkStart w:id="209" w:name="_Toc439"/>
      <w:r>
        <w:rPr>
          <w:rFonts w:hint="eastAsia" w:ascii="宋体" w:hAnsi="宋体"/>
          <w:b/>
          <w:bCs/>
          <w:sz w:val="32"/>
          <w:szCs w:val="32"/>
        </w:rPr>
        <w:t>常用零配件及耗材报价表</w:t>
      </w:r>
      <w:bookmarkEnd w:id="208"/>
      <w:bookmarkEnd w:id="209"/>
    </w:p>
    <w:p w14:paraId="216E3E34">
      <w:pPr>
        <w:pStyle w:val="270"/>
        <w:rPr>
          <w:vanish/>
        </w:rPr>
      </w:pPr>
    </w:p>
    <w:p w14:paraId="7DE6A0B7">
      <w:pPr>
        <w:pStyle w:val="270"/>
        <w:spacing w:before="240" w:after="240"/>
        <w:rPr>
          <w:rFonts w:ascii="宋体" w:hAnsi="宋体" w:eastAsia="宋体" w:cs="宋体"/>
          <w:color w:val="000000"/>
        </w:rPr>
      </w:pPr>
      <w:r>
        <w:rPr>
          <w:rFonts w:ascii="宋体" w:hAnsi="宋体" w:eastAsia="宋体" w:cs="宋体"/>
          <w:color w:val="000000"/>
        </w:rPr>
        <w:t> </w:t>
      </w:r>
    </w:p>
    <w:tbl>
      <w:tblPr>
        <w:tblStyle w:val="37"/>
        <w:tblW w:w="92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710"/>
        <w:gridCol w:w="2184"/>
        <w:gridCol w:w="2821"/>
        <w:gridCol w:w="1039"/>
        <w:gridCol w:w="1039"/>
        <w:gridCol w:w="1421"/>
      </w:tblGrid>
      <w:tr w14:paraId="24262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710" w:type="dxa"/>
            <w:tcBorders>
              <w:tl2br w:val="nil"/>
              <w:tr2bl w:val="nil"/>
            </w:tcBorders>
            <w:tcMar>
              <w:top w:w="0" w:type="dxa"/>
              <w:left w:w="0" w:type="dxa"/>
              <w:bottom w:w="0" w:type="dxa"/>
              <w:right w:w="0" w:type="dxa"/>
            </w:tcMar>
            <w:vAlign w:val="center"/>
          </w:tcPr>
          <w:p w14:paraId="5C30E17B">
            <w:pPr>
              <w:pStyle w:val="270"/>
              <w:widowControl w:val="0"/>
              <w:wordWrap w:val="0"/>
              <w:topLinePunct/>
              <w:jc w:val="center"/>
              <w:rPr>
                <w:rFonts w:ascii="宋体" w:hAnsi="宋体" w:eastAsia="宋体" w:cs="宋体"/>
              </w:rPr>
            </w:pPr>
            <w:r>
              <w:rPr>
                <w:rFonts w:ascii="宋体" w:hAnsi="宋体" w:eastAsia="宋体" w:cs="宋体"/>
                <w:color w:val="000000"/>
              </w:rPr>
              <w:t>序号</w:t>
            </w:r>
          </w:p>
        </w:tc>
        <w:tc>
          <w:tcPr>
            <w:tcW w:w="2184" w:type="dxa"/>
            <w:tcBorders>
              <w:tl2br w:val="nil"/>
              <w:tr2bl w:val="nil"/>
            </w:tcBorders>
            <w:tcMar>
              <w:top w:w="0" w:type="dxa"/>
              <w:left w:w="0" w:type="dxa"/>
              <w:bottom w:w="0" w:type="dxa"/>
              <w:right w:w="0" w:type="dxa"/>
            </w:tcMar>
            <w:vAlign w:val="center"/>
          </w:tcPr>
          <w:p w14:paraId="101878C8">
            <w:pPr>
              <w:pStyle w:val="270"/>
              <w:widowControl w:val="0"/>
              <w:wordWrap w:val="0"/>
              <w:topLinePunct/>
              <w:jc w:val="center"/>
              <w:rPr>
                <w:rFonts w:ascii="宋体" w:hAnsi="宋体" w:eastAsia="宋体" w:cs="宋体"/>
              </w:rPr>
            </w:pPr>
            <w:r>
              <w:rPr>
                <w:rFonts w:ascii="宋体" w:hAnsi="宋体" w:eastAsia="宋体" w:cs="宋体"/>
                <w:color w:val="000000"/>
              </w:rPr>
              <w:t>产品名称</w:t>
            </w:r>
          </w:p>
        </w:tc>
        <w:tc>
          <w:tcPr>
            <w:tcW w:w="2821" w:type="dxa"/>
            <w:tcBorders>
              <w:tl2br w:val="nil"/>
              <w:tr2bl w:val="nil"/>
            </w:tcBorders>
            <w:tcMar>
              <w:top w:w="0" w:type="dxa"/>
              <w:left w:w="0" w:type="dxa"/>
              <w:bottom w:w="0" w:type="dxa"/>
              <w:right w:w="0" w:type="dxa"/>
            </w:tcMar>
            <w:vAlign w:val="center"/>
          </w:tcPr>
          <w:p w14:paraId="2A7D7D99">
            <w:pPr>
              <w:pStyle w:val="270"/>
              <w:widowControl w:val="0"/>
              <w:wordWrap w:val="0"/>
              <w:topLinePunct/>
              <w:jc w:val="center"/>
              <w:rPr>
                <w:rFonts w:ascii="宋体" w:hAnsi="宋体" w:eastAsia="宋体" w:cs="宋体"/>
              </w:rPr>
            </w:pPr>
            <w:r>
              <w:rPr>
                <w:rFonts w:ascii="宋体" w:hAnsi="宋体" w:eastAsia="宋体" w:cs="宋体"/>
                <w:color w:val="000000"/>
              </w:rPr>
              <w:t>规格型号</w:t>
            </w:r>
          </w:p>
        </w:tc>
        <w:tc>
          <w:tcPr>
            <w:tcW w:w="1039" w:type="dxa"/>
            <w:tcBorders>
              <w:tl2br w:val="nil"/>
              <w:tr2bl w:val="nil"/>
            </w:tcBorders>
            <w:tcMar>
              <w:top w:w="0" w:type="dxa"/>
              <w:left w:w="0" w:type="dxa"/>
              <w:bottom w:w="0" w:type="dxa"/>
              <w:right w:w="0" w:type="dxa"/>
            </w:tcMar>
            <w:vAlign w:val="center"/>
          </w:tcPr>
          <w:p w14:paraId="5B526F51">
            <w:pPr>
              <w:pStyle w:val="270"/>
              <w:widowControl w:val="0"/>
              <w:wordWrap w:val="0"/>
              <w:topLinePunct/>
              <w:jc w:val="center"/>
              <w:rPr>
                <w:rFonts w:ascii="宋体" w:hAnsi="宋体" w:eastAsia="宋体" w:cs="宋体"/>
              </w:rPr>
            </w:pPr>
            <w:r>
              <w:rPr>
                <w:rFonts w:ascii="宋体" w:hAnsi="宋体" w:eastAsia="宋体" w:cs="宋体"/>
                <w:color w:val="000000"/>
              </w:rPr>
              <w:t>计量单位</w:t>
            </w:r>
          </w:p>
        </w:tc>
        <w:tc>
          <w:tcPr>
            <w:tcW w:w="1039" w:type="dxa"/>
            <w:tcBorders>
              <w:tl2br w:val="nil"/>
              <w:tr2bl w:val="nil"/>
            </w:tcBorders>
            <w:tcMar>
              <w:top w:w="0" w:type="dxa"/>
              <w:left w:w="0" w:type="dxa"/>
              <w:bottom w:w="0" w:type="dxa"/>
              <w:right w:w="0" w:type="dxa"/>
            </w:tcMar>
            <w:vAlign w:val="center"/>
          </w:tcPr>
          <w:p w14:paraId="717297E6">
            <w:pPr>
              <w:pStyle w:val="270"/>
              <w:widowControl w:val="0"/>
              <w:wordWrap w:val="0"/>
              <w:topLinePunct/>
              <w:jc w:val="center"/>
              <w:rPr>
                <w:rFonts w:ascii="宋体" w:hAnsi="宋体" w:eastAsia="宋体" w:cs="宋体"/>
              </w:rPr>
            </w:pPr>
            <w:r>
              <w:rPr>
                <w:rFonts w:ascii="宋体" w:hAnsi="宋体" w:eastAsia="宋体" w:cs="宋体"/>
                <w:color w:val="000000"/>
              </w:rPr>
              <w:t>数量</w:t>
            </w:r>
          </w:p>
        </w:tc>
        <w:tc>
          <w:tcPr>
            <w:tcW w:w="1421" w:type="dxa"/>
            <w:tcBorders>
              <w:tl2br w:val="nil"/>
              <w:tr2bl w:val="nil"/>
            </w:tcBorders>
            <w:tcMar>
              <w:top w:w="0" w:type="dxa"/>
              <w:left w:w="0" w:type="dxa"/>
              <w:bottom w:w="0" w:type="dxa"/>
              <w:right w:w="0" w:type="dxa"/>
            </w:tcMar>
            <w:vAlign w:val="center"/>
          </w:tcPr>
          <w:p w14:paraId="66BCCBBA">
            <w:pPr>
              <w:pStyle w:val="270"/>
              <w:widowControl w:val="0"/>
              <w:wordWrap w:val="0"/>
              <w:topLinePunct/>
              <w:jc w:val="center"/>
              <w:rPr>
                <w:rFonts w:ascii="宋体" w:hAnsi="宋体" w:eastAsia="宋体" w:cs="宋体"/>
              </w:rPr>
            </w:pPr>
            <w:r>
              <w:rPr>
                <w:rFonts w:ascii="宋体" w:hAnsi="宋体" w:eastAsia="宋体" w:cs="宋体"/>
                <w:color w:val="000000"/>
              </w:rPr>
              <w:t>单价（元）</w:t>
            </w:r>
          </w:p>
        </w:tc>
      </w:tr>
      <w:tr w14:paraId="56EE36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jc w:val="center"/>
        </w:trPr>
        <w:tc>
          <w:tcPr>
            <w:tcW w:w="710" w:type="dxa"/>
            <w:tcBorders>
              <w:tl2br w:val="nil"/>
              <w:tr2bl w:val="nil"/>
            </w:tcBorders>
            <w:tcMar>
              <w:top w:w="0" w:type="dxa"/>
              <w:left w:w="0" w:type="dxa"/>
              <w:bottom w:w="0" w:type="dxa"/>
              <w:right w:w="0" w:type="dxa"/>
            </w:tcMar>
            <w:vAlign w:val="center"/>
          </w:tcPr>
          <w:p w14:paraId="6860F9D9">
            <w:pPr>
              <w:pStyle w:val="270"/>
              <w:widowControl w:val="0"/>
              <w:wordWrap w:val="0"/>
              <w:topLinePunct/>
              <w:jc w:val="center"/>
              <w:rPr>
                <w:rFonts w:ascii="宋体" w:hAnsi="宋体" w:eastAsia="宋体" w:cs="宋体"/>
              </w:rPr>
            </w:pPr>
            <w:r>
              <w:rPr>
                <w:rFonts w:ascii="宋体" w:hAnsi="宋体" w:eastAsia="宋体" w:cs="宋体"/>
                <w:color w:val="000000"/>
              </w:rPr>
              <w:t>1</w:t>
            </w:r>
          </w:p>
        </w:tc>
        <w:tc>
          <w:tcPr>
            <w:tcW w:w="2184" w:type="dxa"/>
            <w:tcBorders>
              <w:tl2br w:val="nil"/>
              <w:tr2bl w:val="nil"/>
            </w:tcBorders>
            <w:tcMar>
              <w:top w:w="0" w:type="dxa"/>
              <w:left w:w="0" w:type="dxa"/>
              <w:bottom w:w="0" w:type="dxa"/>
              <w:right w:w="0" w:type="dxa"/>
            </w:tcMar>
            <w:vAlign w:val="center"/>
          </w:tcPr>
          <w:p w14:paraId="710C14DF">
            <w:pPr>
              <w:pStyle w:val="270"/>
              <w:widowControl w:val="0"/>
              <w:wordWrap w:val="0"/>
              <w:topLinePunct/>
              <w:jc w:val="center"/>
              <w:rPr>
                <w:rFonts w:ascii="宋体" w:hAnsi="宋体" w:eastAsia="宋体" w:cs="宋体"/>
              </w:rPr>
            </w:pPr>
          </w:p>
        </w:tc>
        <w:tc>
          <w:tcPr>
            <w:tcW w:w="2821" w:type="dxa"/>
            <w:tcBorders>
              <w:tl2br w:val="nil"/>
              <w:tr2bl w:val="nil"/>
            </w:tcBorders>
            <w:tcMar>
              <w:top w:w="0" w:type="dxa"/>
              <w:left w:w="0" w:type="dxa"/>
              <w:bottom w:w="0" w:type="dxa"/>
              <w:right w:w="0" w:type="dxa"/>
            </w:tcMar>
            <w:vAlign w:val="center"/>
          </w:tcPr>
          <w:p w14:paraId="2838BE87">
            <w:pPr>
              <w:pStyle w:val="270"/>
              <w:widowControl w:val="0"/>
              <w:wordWrap w:val="0"/>
              <w:topLinePunct/>
              <w:jc w:val="center"/>
              <w:rPr>
                <w:rFonts w:ascii="宋体" w:hAnsi="宋体" w:eastAsia="宋体" w:cs="宋体"/>
              </w:rPr>
            </w:pPr>
          </w:p>
        </w:tc>
        <w:tc>
          <w:tcPr>
            <w:tcW w:w="1039" w:type="dxa"/>
            <w:tcBorders>
              <w:tl2br w:val="nil"/>
              <w:tr2bl w:val="nil"/>
            </w:tcBorders>
            <w:tcMar>
              <w:top w:w="0" w:type="dxa"/>
              <w:left w:w="0" w:type="dxa"/>
              <w:bottom w:w="0" w:type="dxa"/>
              <w:right w:w="0" w:type="dxa"/>
            </w:tcMar>
            <w:vAlign w:val="center"/>
          </w:tcPr>
          <w:p w14:paraId="789A1EE8">
            <w:pPr>
              <w:pStyle w:val="270"/>
              <w:widowControl w:val="0"/>
              <w:wordWrap w:val="0"/>
              <w:topLinePunct/>
              <w:jc w:val="center"/>
              <w:rPr>
                <w:rFonts w:ascii="宋体" w:hAnsi="宋体" w:eastAsia="宋体" w:cs="宋体"/>
              </w:rPr>
            </w:pPr>
          </w:p>
        </w:tc>
        <w:tc>
          <w:tcPr>
            <w:tcW w:w="1039" w:type="dxa"/>
            <w:tcBorders>
              <w:tl2br w:val="nil"/>
              <w:tr2bl w:val="nil"/>
            </w:tcBorders>
            <w:tcMar>
              <w:top w:w="0" w:type="dxa"/>
              <w:left w:w="0" w:type="dxa"/>
              <w:bottom w:w="0" w:type="dxa"/>
              <w:right w:w="0" w:type="dxa"/>
            </w:tcMar>
            <w:vAlign w:val="center"/>
          </w:tcPr>
          <w:p w14:paraId="697D6F31">
            <w:pPr>
              <w:pStyle w:val="270"/>
              <w:widowControl w:val="0"/>
              <w:wordWrap w:val="0"/>
              <w:topLinePunct/>
              <w:jc w:val="center"/>
              <w:rPr>
                <w:rFonts w:ascii="宋体" w:hAnsi="宋体" w:eastAsia="宋体" w:cs="宋体"/>
              </w:rPr>
            </w:pPr>
          </w:p>
        </w:tc>
        <w:tc>
          <w:tcPr>
            <w:tcW w:w="1421" w:type="dxa"/>
            <w:tcBorders>
              <w:tl2br w:val="nil"/>
              <w:tr2bl w:val="nil"/>
            </w:tcBorders>
            <w:tcMar>
              <w:top w:w="0" w:type="dxa"/>
              <w:left w:w="0" w:type="dxa"/>
              <w:bottom w:w="0" w:type="dxa"/>
              <w:right w:w="0" w:type="dxa"/>
            </w:tcMar>
            <w:vAlign w:val="center"/>
          </w:tcPr>
          <w:p w14:paraId="40589E7F">
            <w:pPr>
              <w:pStyle w:val="270"/>
              <w:widowControl w:val="0"/>
              <w:wordWrap w:val="0"/>
              <w:topLinePunct/>
              <w:jc w:val="center"/>
              <w:rPr>
                <w:rFonts w:ascii="宋体" w:hAnsi="宋体" w:eastAsia="宋体" w:cs="宋体"/>
              </w:rPr>
            </w:pPr>
          </w:p>
        </w:tc>
      </w:tr>
    </w:tbl>
    <w:p w14:paraId="607E2820">
      <w:pPr>
        <w:snapToGrid w:val="0"/>
        <w:spacing w:line="360" w:lineRule="auto"/>
        <w:ind w:firstLine="480" w:firstLineChars="200"/>
        <w:jc w:val="left"/>
        <w:rPr>
          <w:rFonts w:ascii="宋体" w:hAnsi="宋体" w:cs="宋体"/>
          <w:sz w:val="24"/>
        </w:rPr>
      </w:pPr>
      <w:r>
        <w:rPr>
          <w:rFonts w:hint="eastAsia" w:ascii="宋体" w:hAnsi="宋体" w:cs="宋体"/>
          <w:sz w:val="24"/>
        </w:rPr>
        <w:t>注：以上常用零配件及耗材必须保证与所投报设备兼容配套使用。</w:t>
      </w:r>
    </w:p>
    <w:p w14:paraId="74897AE8">
      <w:pPr>
        <w:pageBreakBefore/>
        <w:numPr>
          <w:ilvl w:val="0"/>
          <w:numId w:val="15"/>
        </w:numPr>
        <w:spacing w:before="120" w:after="120"/>
        <w:jc w:val="center"/>
        <w:outlineLvl w:val="1"/>
        <w:rPr>
          <w:b/>
          <w:bCs/>
          <w:sz w:val="32"/>
          <w:szCs w:val="32"/>
        </w:rPr>
      </w:pPr>
      <w:r>
        <w:rPr>
          <w:b/>
          <w:bCs/>
          <w:sz w:val="32"/>
          <w:szCs w:val="32"/>
        </w:rPr>
        <w:t>项目需求中实质性要求响应对照表</w:t>
      </w:r>
    </w:p>
    <w:p w14:paraId="5BFFE14F">
      <w:pPr>
        <w:pStyle w:val="292"/>
        <w:spacing w:line="440" w:lineRule="exact"/>
        <w:rPr>
          <w:rFonts w:ascii="宋体" w:hAnsi="宋体" w:eastAsia="宋体" w:cs="宋体"/>
          <w:b/>
          <w:bCs/>
        </w:rPr>
      </w:pPr>
      <w:r>
        <w:rPr>
          <w:rFonts w:ascii="宋体" w:hAnsi="宋体" w:eastAsia="宋体" w:cs="宋体"/>
          <w:b/>
          <w:bCs/>
        </w:rPr>
        <w:t> </w:t>
      </w:r>
      <w:r>
        <w:rPr>
          <w:rFonts w:hint="eastAsia" w:ascii="宋体" w:hAnsi="宋体" w:eastAsia="宋体" w:cs="宋体"/>
          <w:b/>
          <w:bCs/>
        </w:rPr>
        <w:t>1、商务条款的实质性格式</w:t>
      </w:r>
      <w:r>
        <w:rPr>
          <w:rFonts w:ascii="宋体" w:hAnsi="宋体" w:eastAsia="宋体" w:cs="宋体"/>
          <w:b/>
          <w:bCs/>
        </w:rPr>
        <w:t xml:space="preserve"> </w:t>
      </w:r>
    </w:p>
    <w:tbl>
      <w:tblPr>
        <w:tblStyle w:val="37"/>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59"/>
        <w:gridCol w:w="4932"/>
        <w:gridCol w:w="1844"/>
        <w:gridCol w:w="1563"/>
      </w:tblGrid>
      <w:tr w14:paraId="3F68B2D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80" w:hRule="atLeast"/>
        </w:trPr>
        <w:tc>
          <w:tcPr>
            <w:tcW w:w="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0F1A78B">
            <w:pPr>
              <w:pStyle w:val="292"/>
              <w:jc w:val="center"/>
              <w:rPr>
                <w:rFonts w:ascii="宋体" w:hAnsi="宋体" w:eastAsia="宋体" w:cs="宋体"/>
              </w:rPr>
            </w:pPr>
            <w:r>
              <w:rPr>
                <w:rFonts w:ascii="宋体" w:hAnsi="宋体" w:eastAsia="宋体" w:cs="宋体"/>
              </w:rPr>
              <w:t>序号</w:t>
            </w:r>
          </w:p>
        </w:tc>
        <w:tc>
          <w:tcPr>
            <w:tcW w:w="4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6267A2B">
            <w:pPr>
              <w:pStyle w:val="292"/>
              <w:jc w:val="center"/>
              <w:rPr>
                <w:rFonts w:ascii="宋体" w:hAnsi="宋体" w:eastAsia="宋体" w:cs="宋体"/>
              </w:rPr>
            </w:pPr>
            <w:r>
              <w:rPr>
                <w:rFonts w:hint="eastAsia" w:ascii="宋体" w:hAnsi="宋体" w:eastAsia="宋体" w:cs="宋体"/>
              </w:rPr>
              <w:t>商务条款</w:t>
            </w:r>
            <w:r>
              <w:rPr>
                <w:rFonts w:ascii="宋体" w:hAnsi="宋体" w:eastAsia="宋体" w:cs="宋体"/>
              </w:rPr>
              <w:t>的实质性要求</w:t>
            </w:r>
          </w:p>
          <w:p w14:paraId="27ACFD7B">
            <w:pPr>
              <w:pStyle w:val="292"/>
              <w:jc w:val="center"/>
              <w:rPr>
                <w:rFonts w:ascii="宋体" w:hAnsi="宋体" w:eastAsia="宋体" w:cs="宋体"/>
              </w:rPr>
            </w:pPr>
            <w:r>
              <w:rPr>
                <w:rFonts w:hint="eastAsia" w:ascii="宋体" w:hAnsi="宋体"/>
                <w:i/>
                <w:u w:val="single"/>
              </w:rPr>
              <w:t>（加</w:t>
            </w:r>
            <w:r>
              <w:rPr>
                <w:rFonts w:ascii="宋体" w:hAnsi="宋体"/>
                <w:i/>
                <w:u w:val="single"/>
              </w:rPr>
              <w:t>斜体下划线内容</w:t>
            </w:r>
            <w:r>
              <w:rPr>
                <w:rFonts w:hint="eastAsia" w:ascii="宋体" w:hAnsi="宋体"/>
                <w:i/>
                <w:u w:val="single"/>
              </w:rPr>
              <w:t>）</w:t>
            </w:r>
          </w:p>
        </w:tc>
        <w:tc>
          <w:tcPr>
            <w:tcW w:w="18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FC42CA3">
            <w:pPr>
              <w:pStyle w:val="292"/>
              <w:jc w:val="center"/>
              <w:rPr>
                <w:rFonts w:ascii="宋体" w:hAnsi="宋体" w:eastAsia="宋体" w:cs="宋体"/>
              </w:rPr>
            </w:pPr>
            <w:r>
              <w:rPr>
                <w:rFonts w:hint="eastAsia" w:ascii="宋体" w:hAnsi="宋体" w:eastAsia="宋体" w:cs="宋体"/>
              </w:rPr>
              <w:t>投标响应情况</w:t>
            </w:r>
          </w:p>
        </w:tc>
        <w:tc>
          <w:tcPr>
            <w:tcW w:w="156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F740155">
            <w:pPr>
              <w:pStyle w:val="292"/>
              <w:jc w:val="center"/>
              <w:rPr>
                <w:rFonts w:ascii="宋体" w:hAnsi="宋体" w:eastAsia="宋体" w:cs="宋体"/>
              </w:rPr>
            </w:pPr>
            <w:r>
              <w:rPr>
                <w:rFonts w:hint="eastAsia" w:ascii="宋体" w:hAnsi="宋体" w:eastAsia="宋体" w:cs="宋体"/>
              </w:rPr>
              <w:t>正偏离、符合或负偏离</w:t>
            </w:r>
          </w:p>
        </w:tc>
      </w:tr>
      <w:tr w14:paraId="1E8B8933">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32" w:hRule="atLeast"/>
        </w:trPr>
        <w:tc>
          <w:tcPr>
            <w:tcW w:w="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205738">
            <w:pPr>
              <w:pStyle w:val="292"/>
              <w:jc w:val="center"/>
              <w:rPr>
                <w:rFonts w:ascii="宋体" w:hAnsi="宋体" w:eastAsia="宋体" w:cs="宋体"/>
              </w:rPr>
            </w:pPr>
            <w:r>
              <w:rPr>
                <w:rFonts w:hint="eastAsia" w:ascii="宋体" w:hAnsi="宋体" w:eastAsia="宋体" w:cs="宋体"/>
              </w:rPr>
              <w:t>1</w:t>
            </w:r>
          </w:p>
        </w:tc>
        <w:tc>
          <w:tcPr>
            <w:tcW w:w="4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5C0F7A8">
            <w:pPr>
              <w:pStyle w:val="279"/>
              <w:spacing w:line="440" w:lineRule="exact"/>
              <w:ind w:firstLine="500"/>
              <w:rPr>
                <w:rFonts w:ascii="宋体" w:hAnsi="宋体" w:eastAsia="宋体" w:cs="宋体"/>
                <w:i/>
                <w:u w:val="single"/>
              </w:rPr>
            </w:pPr>
          </w:p>
        </w:tc>
        <w:tc>
          <w:tcPr>
            <w:tcW w:w="18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3E53887">
            <w:pPr>
              <w:pStyle w:val="292"/>
              <w:jc w:val="center"/>
              <w:rPr>
                <w:rFonts w:ascii="宋体" w:hAnsi="宋体" w:eastAsia="宋体" w:cs="宋体"/>
              </w:rPr>
            </w:pPr>
          </w:p>
        </w:tc>
        <w:tc>
          <w:tcPr>
            <w:tcW w:w="156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B154314">
            <w:pPr>
              <w:pStyle w:val="292"/>
              <w:jc w:val="center"/>
              <w:rPr>
                <w:rFonts w:ascii="宋体" w:hAnsi="宋体" w:eastAsia="宋体" w:cs="宋体"/>
              </w:rPr>
            </w:pPr>
          </w:p>
        </w:tc>
      </w:tr>
      <w:tr w14:paraId="754D2AD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32" w:hRule="atLeast"/>
        </w:trPr>
        <w:tc>
          <w:tcPr>
            <w:tcW w:w="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22BBD0D">
            <w:pPr>
              <w:pStyle w:val="292"/>
              <w:jc w:val="center"/>
              <w:rPr>
                <w:rFonts w:ascii="宋体" w:hAnsi="宋体" w:eastAsia="宋体" w:cs="宋体"/>
              </w:rPr>
            </w:pPr>
            <w:r>
              <w:rPr>
                <w:rFonts w:hint="eastAsia" w:ascii="宋体" w:hAnsi="宋体" w:eastAsia="宋体" w:cs="宋体"/>
              </w:rPr>
              <w:t>2</w:t>
            </w:r>
          </w:p>
        </w:tc>
        <w:tc>
          <w:tcPr>
            <w:tcW w:w="4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B2004AC">
            <w:pPr>
              <w:pStyle w:val="279"/>
              <w:spacing w:line="440" w:lineRule="exact"/>
              <w:ind w:firstLine="500"/>
              <w:rPr>
                <w:rFonts w:ascii="宋体" w:hAnsi="宋体" w:eastAsia="宋体" w:cs="宋体"/>
              </w:rPr>
            </w:pPr>
          </w:p>
        </w:tc>
        <w:tc>
          <w:tcPr>
            <w:tcW w:w="18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26D4936">
            <w:pPr>
              <w:pStyle w:val="292"/>
              <w:jc w:val="center"/>
              <w:rPr>
                <w:rFonts w:ascii="宋体" w:hAnsi="宋体" w:eastAsia="宋体" w:cs="宋体"/>
              </w:rPr>
            </w:pPr>
          </w:p>
        </w:tc>
        <w:tc>
          <w:tcPr>
            <w:tcW w:w="156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8F25B8B">
            <w:pPr>
              <w:pStyle w:val="292"/>
              <w:jc w:val="center"/>
              <w:rPr>
                <w:rFonts w:ascii="宋体" w:hAnsi="宋体" w:eastAsia="宋体" w:cs="宋体"/>
              </w:rPr>
            </w:pPr>
          </w:p>
        </w:tc>
      </w:tr>
      <w:tr w14:paraId="2B2F14F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671" w:hRule="atLeast"/>
        </w:trPr>
        <w:tc>
          <w:tcPr>
            <w:tcW w:w="55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9DC792F">
            <w:pPr>
              <w:pStyle w:val="292"/>
              <w:jc w:val="center"/>
              <w:rPr>
                <w:rFonts w:ascii="宋体" w:hAnsi="宋体" w:eastAsia="宋体" w:cs="宋体"/>
              </w:rPr>
            </w:pPr>
          </w:p>
        </w:tc>
        <w:tc>
          <w:tcPr>
            <w:tcW w:w="4932"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EA5D45F">
            <w:pPr>
              <w:pStyle w:val="279"/>
              <w:spacing w:line="440" w:lineRule="exact"/>
              <w:rPr>
                <w:rFonts w:ascii="宋体" w:hAnsi="宋体" w:eastAsia="宋体" w:cs="宋体"/>
              </w:rPr>
            </w:pPr>
            <w:r>
              <w:rPr>
                <w:rFonts w:hint="eastAsia" w:ascii="宋体" w:hAnsi="宋体" w:eastAsia="宋体" w:cs="宋体"/>
              </w:rPr>
              <w:t>……</w:t>
            </w:r>
          </w:p>
        </w:tc>
        <w:tc>
          <w:tcPr>
            <w:tcW w:w="1844"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EA034C2">
            <w:pPr>
              <w:pStyle w:val="292"/>
              <w:jc w:val="center"/>
              <w:rPr>
                <w:rFonts w:ascii="宋体" w:hAnsi="宋体" w:eastAsia="宋体" w:cs="宋体"/>
              </w:rPr>
            </w:pPr>
          </w:p>
        </w:tc>
        <w:tc>
          <w:tcPr>
            <w:tcW w:w="1563"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0AF1DE5">
            <w:pPr>
              <w:pStyle w:val="292"/>
              <w:jc w:val="center"/>
              <w:rPr>
                <w:rFonts w:ascii="宋体" w:hAnsi="宋体" w:eastAsia="宋体" w:cs="宋体"/>
              </w:rPr>
            </w:pPr>
          </w:p>
        </w:tc>
      </w:tr>
    </w:tbl>
    <w:p w14:paraId="50FCE630">
      <w:pPr>
        <w:spacing w:line="400" w:lineRule="exact"/>
        <w:rPr>
          <w:rFonts w:ascii="宋体" w:hAnsi="宋体"/>
          <w:sz w:val="24"/>
        </w:rPr>
      </w:pPr>
      <w:r>
        <w:rPr>
          <w:rFonts w:hint="eastAsia" w:ascii="宋体" w:hAnsi="宋体"/>
          <w:sz w:val="24"/>
        </w:rPr>
        <w:t>备注</w:t>
      </w:r>
      <w:r>
        <w:rPr>
          <w:rFonts w:ascii="宋体" w:hAnsi="宋体"/>
          <w:sz w:val="24"/>
        </w:rPr>
        <w:t>：</w:t>
      </w:r>
    </w:p>
    <w:p w14:paraId="0674BDE0">
      <w:pPr>
        <w:spacing w:line="400" w:lineRule="exact"/>
        <w:rPr>
          <w:rFonts w:ascii="宋体" w:hAnsi="宋体"/>
          <w:sz w:val="24"/>
        </w:rPr>
      </w:pPr>
      <w:r>
        <w:rPr>
          <w:rFonts w:hint="eastAsia" w:ascii="宋体" w:hAnsi="宋体"/>
          <w:sz w:val="24"/>
        </w:rPr>
        <w:t>1.投标人必须</w:t>
      </w:r>
      <w:r>
        <w:rPr>
          <w:rFonts w:ascii="宋体" w:hAnsi="宋体"/>
          <w:sz w:val="24"/>
        </w:rPr>
        <w:t>对商务</w:t>
      </w:r>
      <w:r>
        <w:rPr>
          <w:rFonts w:hint="eastAsia" w:ascii="宋体" w:hAnsi="宋体"/>
          <w:sz w:val="24"/>
        </w:rPr>
        <w:t>条款</w:t>
      </w:r>
      <w:r>
        <w:rPr>
          <w:rFonts w:ascii="宋体" w:hAnsi="宋体"/>
          <w:sz w:val="24"/>
        </w:rPr>
        <w:t>中的实质性要求</w:t>
      </w:r>
      <w:r>
        <w:rPr>
          <w:rFonts w:hint="eastAsia" w:ascii="宋体" w:hAnsi="宋体"/>
          <w:i/>
          <w:sz w:val="24"/>
          <w:u w:val="single"/>
        </w:rPr>
        <w:t>（加</w:t>
      </w:r>
      <w:r>
        <w:rPr>
          <w:rFonts w:ascii="宋体" w:hAnsi="宋体"/>
          <w:i/>
          <w:sz w:val="24"/>
          <w:u w:val="single"/>
        </w:rPr>
        <w:t>斜体下划线内容</w:t>
      </w:r>
      <w:r>
        <w:rPr>
          <w:rFonts w:hint="eastAsia" w:ascii="宋体" w:hAnsi="宋体"/>
          <w:i/>
          <w:sz w:val="24"/>
          <w:u w:val="single"/>
        </w:rPr>
        <w:t>）</w:t>
      </w:r>
      <w:r>
        <w:rPr>
          <w:rFonts w:ascii="宋体" w:hAnsi="宋体"/>
          <w:sz w:val="24"/>
        </w:rPr>
        <w:t>逐条做出明确响应</w:t>
      </w:r>
      <w:r>
        <w:rPr>
          <w:rFonts w:hint="eastAsia" w:ascii="宋体" w:hAnsi="宋体"/>
          <w:sz w:val="24"/>
        </w:rPr>
        <w:t>，否则该采购包作无效投标处理</w:t>
      </w:r>
      <w:r>
        <w:rPr>
          <w:rFonts w:ascii="宋体" w:hAnsi="宋体"/>
          <w:sz w:val="24"/>
        </w:rPr>
        <w:t>。</w:t>
      </w:r>
    </w:p>
    <w:p w14:paraId="2B7787C0">
      <w:pPr>
        <w:pStyle w:val="292"/>
        <w:rPr>
          <w:rFonts w:ascii="宋体" w:hAnsi="宋体" w:eastAsia="宋体" w:cs="宋体"/>
        </w:rPr>
      </w:pPr>
    </w:p>
    <w:p w14:paraId="13F5C7A4">
      <w:pPr>
        <w:pStyle w:val="292"/>
        <w:ind w:firstLine="482"/>
        <w:rPr>
          <w:rFonts w:ascii="宋体" w:hAnsi="宋体" w:eastAsia="宋体" w:cs="宋体"/>
          <w:b/>
          <w:bCs/>
        </w:rPr>
      </w:pPr>
    </w:p>
    <w:p w14:paraId="69FFF3E3">
      <w:pPr>
        <w:pStyle w:val="292"/>
        <w:ind w:firstLine="482"/>
        <w:rPr>
          <w:rFonts w:ascii="宋体" w:hAnsi="宋体" w:eastAsia="宋体" w:cs="宋体"/>
          <w:b/>
          <w:bCs/>
        </w:rPr>
      </w:pPr>
      <w:bookmarkStart w:id="210" w:name="OLE_LINK19"/>
      <w:r>
        <w:rPr>
          <w:rFonts w:hint="eastAsia" w:ascii="宋体" w:hAnsi="宋体" w:eastAsia="宋体" w:cs="宋体"/>
          <w:b/>
          <w:bCs/>
        </w:rPr>
        <w:t>2、技术要求的实质性格式</w:t>
      </w:r>
    </w:p>
    <w:tbl>
      <w:tblPr>
        <w:tblStyle w:val="37"/>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528"/>
        <w:gridCol w:w="5029"/>
        <w:gridCol w:w="1710"/>
        <w:gridCol w:w="1710"/>
      </w:tblGrid>
      <w:tr w14:paraId="0D45628C">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1015" w:hRule="atLeast"/>
        </w:trPr>
        <w:tc>
          <w:tcPr>
            <w:tcW w:w="52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8C9041D">
            <w:pPr>
              <w:pStyle w:val="292"/>
              <w:jc w:val="center"/>
              <w:rPr>
                <w:rFonts w:ascii="宋体" w:hAnsi="宋体" w:eastAsia="宋体" w:cs="宋体"/>
              </w:rPr>
            </w:pPr>
            <w:r>
              <w:rPr>
                <w:rFonts w:ascii="宋体" w:hAnsi="宋体" w:eastAsia="宋体" w:cs="宋体"/>
              </w:rPr>
              <w:t>序号</w:t>
            </w:r>
          </w:p>
        </w:tc>
        <w:tc>
          <w:tcPr>
            <w:tcW w:w="502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DB8833F">
            <w:pPr>
              <w:pStyle w:val="292"/>
              <w:jc w:val="center"/>
              <w:rPr>
                <w:rFonts w:ascii="宋体" w:hAnsi="宋体" w:eastAsia="宋体" w:cs="宋体"/>
              </w:rPr>
            </w:pPr>
            <w:r>
              <w:rPr>
                <w:rFonts w:hint="eastAsia" w:ascii="宋体" w:hAnsi="宋体" w:eastAsia="宋体" w:cs="宋体"/>
              </w:rPr>
              <w:t>技术要求</w:t>
            </w:r>
            <w:r>
              <w:rPr>
                <w:rFonts w:ascii="宋体" w:hAnsi="宋体" w:eastAsia="宋体" w:cs="宋体"/>
              </w:rPr>
              <w:t>的实质性要求</w:t>
            </w:r>
          </w:p>
          <w:p w14:paraId="61F5B357">
            <w:pPr>
              <w:pStyle w:val="292"/>
              <w:jc w:val="center"/>
              <w:rPr>
                <w:rFonts w:ascii="宋体" w:hAnsi="宋体" w:eastAsia="宋体" w:cs="宋体"/>
              </w:rPr>
            </w:pPr>
            <w:r>
              <w:rPr>
                <w:rFonts w:hint="eastAsia" w:ascii="宋体" w:hAnsi="宋体"/>
                <w:i/>
                <w:u w:val="single"/>
              </w:rPr>
              <w:t>（加</w:t>
            </w:r>
            <w:r>
              <w:rPr>
                <w:rFonts w:ascii="宋体" w:hAnsi="宋体"/>
                <w:i/>
                <w:u w:val="single"/>
              </w:rPr>
              <w:t>斜体下划线内容</w:t>
            </w:r>
            <w:r>
              <w:rPr>
                <w:rFonts w:hint="eastAsia" w:ascii="宋体" w:hAnsi="宋体"/>
                <w:i/>
                <w:u w:val="single"/>
              </w:rPr>
              <w:t>）</w:t>
            </w: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41675E9">
            <w:pPr>
              <w:pStyle w:val="292"/>
              <w:jc w:val="center"/>
              <w:rPr>
                <w:rFonts w:ascii="宋体" w:hAnsi="宋体" w:eastAsia="宋体" w:cs="宋体"/>
              </w:rPr>
            </w:pPr>
            <w:r>
              <w:rPr>
                <w:rFonts w:hint="eastAsia" w:ascii="宋体" w:hAnsi="宋体" w:eastAsia="宋体" w:cs="宋体"/>
              </w:rPr>
              <w:t>投标响应情况</w:t>
            </w: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3BEAEBB">
            <w:pPr>
              <w:pStyle w:val="292"/>
              <w:jc w:val="center"/>
              <w:rPr>
                <w:rFonts w:ascii="宋体" w:hAnsi="宋体" w:eastAsia="宋体" w:cs="宋体"/>
              </w:rPr>
            </w:pPr>
            <w:r>
              <w:rPr>
                <w:rFonts w:hint="eastAsia" w:ascii="宋体" w:hAnsi="宋体" w:eastAsia="宋体" w:cs="宋体"/>
              </w:rPr>
              <w:t>正偏离、符合或负偏离</w:t>
            </w:r>
          </w:p>
        </w:tc>
      </w:tr>
      <w:tr w14:paraId="75D9D2D7">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9" w:hRule="atLeast"/>
        </w:trPr>
        <w:tc>
          <w:tcPr>
            <w:tcW w:w="52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0D8CF92">
            <w:pPr>
              <w:pStyle w:val="292"/>
              <w:jc w:val="center"/>
              <w:rPr>
                <w:rFonts w:ascii="宋体" w:hAnsi="宋体" w:eastAsia="宋体" w:cs="宋体"/>
              </w:rPr>
            </w:pPr>
            <w:r>
              <w:rPr>
                <w:rFonts w:hint="eastAsia" w:ascii="宋体" w:hAnsi="宋体" w:eastAsia="宋体" w:cs="宋体"/>
              </w:rPr>
              <w:t>1</w:t>
            </w:r>
          </w:p>
        </w:tc>
        <w:tc>
          <w:tcPr>
            <w:tcW w:w="502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713F045">
            <w:pPr>
              <w:pStyle w:val="292"/>
              <w:rPr>
                <w:rFonts w:ascii="宋体" w:hAnsi="宋体" w:eastAsia="宋体" w:cs="宋体"/>
                <w:i/>
                <w:u w:val="single"/>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A504877">
            <w:pPr>
              <w:pStyle w:val="292"/>
              <w:jc w:val="center"/>
              <w:rPr>
                <w:rFonts w:ascii="宋体" w:hAnsi="宋体" w:eastAsia="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0B7184B">
            <w:pPr>
              <w:pStyle w:val="292"/>
              <w:jc w:val="center"/>
              <w:rPr>
                <w:rFonts w:ascii="宋体" w:hAnsi="宋体" w:eastAsia="宋体" w:cs="宋体"/>
              </w:rPr>
            </w:pPr>
          </w:p>
        </w:tc>
      </w:tr>
      <w:tr w14:paraId="6928939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9" w:hRule="atLeast"/>
        </w:trPr>
        <w:tc>
          <w:tcPr>
            <w:tcW w:w="52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85D49B0">
            <w:pPr>
              <w:pStyle w:val="292"/>
              <w:jc w:val="center"/>
              <w:rPr>
                <w:rFonts w:ascii="宋体" w:hAnsi="宋体" w:eastAsia="宋体" w:cs="宋体"/>
              </w:rPr>
            </w:pPr>
            <w:r>
              <w:rPr>
                <w:rFonts w:hint="eastAsia" w:ascii="宋体" w:hAnsi="宋体" w:eastAsia="宋体" w:cs="宋体"/>
              </w:rPr>
              <w:t>2</w:t>
            </w:r>
          </w:p>
        </w:tc>
        <w:tc>
          <w:tcPr>
            <w:tcW w:w="502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7F28A5F">
            <w:pPr>
              <w:pStyle w:val="292"/>
              <w:rPr>
                <w:rFonts w:ascii="宋体" w:hAnsi="宋体" w:cs="宋体"/>
                <w:b/>
                <w:i/>
                <w:iCs/>
                <w:u w:val="single"/>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CBEA8CB">
            <w:pPr>
              <w:pStyle w:val="292"/>
              <w:jc w:val="center"/>
              <w:rPr>
                <w:rFonts w:ascii="宋体" w:hAnsi="宋体" w:eastAsia="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1917C14">
            <w:pPr>
              <w:pStyle w:val="292"/>
              <w:jc w:val="center"/>
              <w:rPr>
                <w:rFonts w:ascii="宋体" w:hAnsi="宋体" w:eastAsia="宋体" w:cs="宋体"/>
              </w:rPr>
            </w:pPr>
          </w:p>
        </w:tc>
      </w:tr>
      <w:tr w14:paraId="59995152">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19" w:hRule="atLeast"/>
        </w:trPr>
        <w:tc>
          <w:tcPr>
            <w:tcW w:w="52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C8A6AF7">
            <w:pPr>
              <w:pStyle w:val="292"/>
              <w:jc w:val="center"/>
              <w:rPr>
                <w:rFonts w:ascii="宋体" w:hAnsi="宋体" w:eastAsia="宋体" w:cs="宋体"/>
              </w:rPr>
            </w:pPr>
            <w:r>
              <w:rPr>
                <w:rFonts w:hint="eastAsia" w:ascii="宋体" w:hAnsi="宋体" w:eastAsia="宋体" w:cs="宋体"/>
              </w:rPr>
              <w:t>3</w:t>
            </w:r>
          </w:p>
        </w:tc>
        <w:tc>
          <w:tcPr>
            <w:tcW w:w="502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7D39465A">
            <w:pPr>
              <w:pStyle w:val="292"/>
              <w:rPr>
                <w:rFonts w:ascii="宋体" w:hAnsi="宋体" w:eastAsia="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AF17AEE">
            <w:pPr>
              <w:pStyle w:val="292"/>
              <w:jc w:val="center"/>
              <w:rPr>
                <w:rFonts w:ascii="宋体" w:hAnsi="宋体" w:eastAsia="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C03068B">
            <w:pPr>
              <w:pStyle w:val="292"/>
              <w:jc w:val="center"/>
              <w:rPr>
                <w:rFonts w:ascii="宋体" w:hAnsi="宋体" w:eastAsia="宋体" w:cs="宋体"/>
              </w:rPr>
            </w:pPr>
          </w:p>
        </w:tc>
      </w:tr>
      <w:tr w14:paraId="013AEB2E">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543" w:hRule="atLeast"/>
        </w:trPr>
        <w:tc>
          <w:tcPr>
            <w:tcW w:w="528"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60C50D5">
            <w:pPr>
              <w:pStyle w:val="292"/>
              <w:jc w:val="center"/>
              <w:rPr>
                <w:rFonts w:ascii="宋体" w:hAnsi="宋体" w:eastAsia="宋体" w:cs="宋体"/>
              </w:rPr>
            </w:pPr>
          </w:p>
        </w:tc>
        <w:tc>
          <w:tcPr>
            <w:tcW w:w="5029"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DC24ABB">
            <w:pPr>
              <w:pStyle w:val="292"/>
              <w:rPr>
                <w:rFonts w:ascii="宋体" w:hAnsi="宋体" w:eastAsia="宋体" w:cs="宋体"/>
              </w:rPr>
            </w:pPr>
            <w:r>
              <w:rPr>
                <w:rFonts w:hint="eastAsia" w:ascii="宋体" w:hAnsi="宋体" w:eastAsia="宋体" w:cs="宋体"/>
              </w:rPr>
              <w:t>……</w:t>
            </w: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ADF6C73">
            <w:pPr>
              <w:pStyle w:val="292"/>
              <w:jc w:val="center"/>
              <w:rPr>
                <w:rFonts w:ascii="宋体" w:hAnsi="宋体" w:eastAsia="宋体" w:cs="宋体"/>
              </w:rPr>
            </w:pPr>
          </w:p>
        </w:tc>
        <w:tc>
          <w:tcPr>
            <w:tcW w:w="1710"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B0226E4">
            <w:pPr>
              <w:pStyle w:val="292"/>
              <w:jc w:val="center"/>
              <w:rPr>
                <w:rFonts w:ascii="宋体" w:hAnsi="宋体" w:eastAsia="宋体" w:cs="宋体"/>
              </w:rPr>
            </w:pPr>
          </w:p>
        </w:tc>
      </w:tr>
    </w:tbl>
    <w:p w14:paraId="205991EC">
      <w:pPr>
        <w:spacing w:line="400" w:lineRule="exact"/>
        <w:rPr>
          <w:rFonts w:ascii="宋体" w:hAnsi="宋体"/>
          <w:sz w:val="24"/>
        </w:rPr>
      </w:pPr>
      <w:r>
        <w:rPr>
          <w:rFonts w:hint="eastAsia" w:ascii="宋体" w:hAnsi="宋体"/>
          <w:sz w:val="24"/>
        </w:rPr>
        <w:t>备注</w:t>
      </w:r>
      <w:r>
        <w:rPr>
          <w:rFonts w:ascii="宋体" w:hAnsi="宋体"/>
          <w:sz w:val="24"/>
        </w:rPr>
        <w:t>：</w:t>
      </w:r>
    </w:p>
    <w:p w14:paraId="2EBD729C">
      <w:pPr>
        <w:spacing w:line="400" w:lineRule="exact"/>
        <w:rPr>
          <w:rFonts w:ascii="宋体" w:hAnsi="宋体"/>
          <w:sz w:val="24"/>
        </w:rPr>
      </w:pPr>
      <w:r>
        <w:rPr>
          <w:rFonts w:hint="eastAsia" w:ascii="宋体" w:hAnsi="宋体"/>
          <w:sz w:val="24"/>
        </w:rPr>
        <w:t>1.投标人必须</w:t>
      </w:r>
      <w:r>
        <w:rPr>
          <w:rFonts w:ascii="宋体" w:hAnsi="宋体"/>
          <w:sz w:val="24"/>
        </w:rPr>
        <w:t>对</w:t>
      </w:r>
      <w:r>
        <w:rPr>
          <w:rFonts w:hint="eastAsia" w:ascii="宋体" w:hAnsi="宋体"/>
          <w:sz w:val="24"/>
        </w:rPr>
        <w:t>技术要求</w:t>
      </w:r>
      <w:r>
        <w:rPr>
          <w:rFonts w:ascii="宋体" w:hAnsi="宋体"/>
          <w:sz w:val="24"/>
        </w:rPr>
        <w:t>中的实质性要求</w:t>
      </w:r>
      <w:r>
        <w:rPr>
          <w:rFonts w:hint="eastAsia" w:ascii="宋体" w:hAnsi="宋体"/>
          <w:i/>
          <w:sz w:val="24"/>
          <w:u w:val="single"/>
        </w:rPr>
        <w:t>（加</w:t>
      </w:r>
      <w:r>
        <w:rPr>
          <w:rFonts w:ascii="宋体" w:hAnsi="宋体"/>
          <w:i/>
          <w:sz w:val="24"/>
          <w:u w:val="single"/>
        </w:rPr>
        <w:t>斜体下划线内容</w:t>
      </w:r>
      <w:r>
        <w:rPr>
          <w:rFonts w:hint="eastAsia" w:ascii="宋体" w:hAnsi="宋体"/>
          <w:i/>
          <w:sz w:val="24"/>
          <w:u w:val="single"/>
        </w:rPr>
        <w:t>）</w:t>
      </w:r>
      <w:r>
        <w:rPr>
          <w:rFonts w:ascii="宋体" w:hAnsi="宋体"/>
          <w:sz w:val="24"/>
        </w:rPr>
        <w:t>逐条做出明确响应</w:t>
      </w:r>
      <w:r>
        <w:rPr>
          <w:rFonts w:hint="eastAsia" w:ascii="宋体" w:hAnsi="宋体"/>
          <w:sz w:val="24"/>
        </w:rPr>
        <w:t>，否则该采购包作无效投标处理</w:t>
      </w:r>
      <w:r>
        <w:rPr>
          <w:rFonts w:ascii="宋体" w:hAnsi="宋体"/>
          <w:sz w:val="24"/>
        </w:rPr>
        <w:t>。</w:t>
      </w:r>
      <w:bookmarkEnd w:id="210"/>
    </w:p>
    <w:p w14:paraId="63F5CB9C">
      <w:pPr>
        <w:pStyle w:val="260"/>
        <w:spacing w:line="440" w:lineRule="exact"/>
        <w:rPr>
          <w:rStyle w:val="275"/>
          <w:rFonts w:ascii="宋体" w:hAnsi="宋体" w:eastAsia="宋体" w:cs="宋体"/>
        </w:rPr>
      </w:pPr>
    </w:p>
    <w:p w14:paraId="70FE9B33">
      <w:pPr>
        <w:ind w:firstLine="573"/>
        <w:jc w:val="left"/>
      </w:pPr>
    </w:p>
    <w:p w14:paraId="2FE30E62">
      <w:pPr>
        <w:pageBreakBefore/>
        <w:numPr>
          <w:ilvl w:val="0"/>
          <w:numId w:val="15"/>
        </w:numPr>
        <w:spacing w:before="120" w:after="120"/>
        <w:jc w:val="center"/>
        <w:outlineLvl w:val="1"/>
        <w:rPr>
          <w:rFonts w:ascii="宋体" w:hAnsi="宋体"/>
          <w:b/>
          <w:sz w:val="32"/>
          <w:szCs w:val="40"/>
        </w:rPr>
      </w:pPr>
      <w:r>
        <w:rPr>
          <w:rFonts w:hint="eastAsia" w:ascii="宋体" w:hAnsi="宋体"/>
          <w:b/>
          <w:sz w:val="32"/>
          <w:szCs w:val="40"/>
        </w:rPr>
        <w:t>技术商务</w:t>
      </w:r>
      <w:r>
        <w:rPr>
          <w:rFonts w:hint="eastAsia" w:ascii="宋体" w:hAnsi="宋体"/>
          <w:b/>
          <w:sz w:val="32"/>
          <w:szCs w:val="32"/>
        </w:rPr>
        <w:t>要求响应及偏离表</w:t>
      </w:r>
    </w:p>
    <w:tbl>
      <w:tblPr>
        <w:tblStyle w:val="37"/>
        <w:tblW w:w="1071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5"/>
        <w:gridCol w:w="1362"/>
        <w:gridCol w:w="3398"/>
        <w:gridCol w:w="2359"/>
        <w:gridCol w:w="897"/>
        <w:gridCol w:w="2221"/>
      </w:tblGrid>
      <w:tr w14:paraId="7F7709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75" w:type="dxa"/>
            <w:vAlign w:val="center"/>
          </w:tcPr>
          <w:p w14:paraId="32D436CF">
            <w:pPr>
              <w:widowControl/>
              <w:spacing w:line="240" w:lineRule="auto"/>
              <w:ind w:firstLine="0"/>
              <w:jc w:val="center"/>
              <w:rPr>
                <w:sz w:val="24"/>
              </w:rPr>
            </w:pPr>
            <w:r>
              <w:rPr>
                <w:rFonts w:hint="eastAsia"/>
                <w:sz w:val="24"/>
              </w:rPr>
              <w:t>序号</w:t>
            </w:r>
          </w:p>
        </w:tc>
        <w:tc>
          <w:tcPr>
            <w:tcW w:w="1362" w:type="dxa"/>
            <w:vAlign w:val="center"/>
          </w:tcPr>
          <w:p w14:paraId="1562D5FD">
            <w:pPr>
              <w:widowControl/>
              <w:spacing w:line="240" w:lineRule="auto"/>
              <w:ind w:firstLine="0"/>
              <w:jc w:val="center"/>
              <w:rPr>
                <w:sz w:val="24"/>
              </w:rPr>
            </w:pPr>
            <w:r>
              <w:rPr>
                <w:rFonts w:hint="eastAsia"/>
                <w:sz w:val="24"/>
              </w:rPr>
              <w:t>名称</w:t>
            </w:r>
          </w:p>
        </w:tc>
        <w:tc>
          <w:tcPr>
            <w:tcW w:w="3398" w:type="dxa"/>
            <w:vAlign w:val="center"/>
          </w:tcPr>
          <w:p w14:paraId="5F3CBD30">
            <w:pPr>
              <w:widowControl/>
              <w:spacing w:line="240" w:lineRule="auto"/>
              <w:ind w:firstLine="0"/>
              <w:jc w:val="center"/>
              <w:rPr>
                <w:sz w:val="24"/>
              </w:rPr>
            </w:pPr>
            <w:r>
              <w:rPr>
                <w:rFonts w:hint="eastAsia"/>
                <w:sz w:val="24"/>
              </w:rPr>
              <w:t>项目需求中的技术商务要求</w:t>
            </w:r>
          </w:p>
        </w:tc>
        <w:tc>
          <w:tcPr>
            <w:tcW w:w="2359" w:type="dxa"/>
            <w:vAlign w:val="center"/>
          </w:tcPr>
          <w:p w14:paraId="5A5E8C01">
            <w:pPr>
              <w:widowControl/>
              <w:spacing w:line="240" w:lineRule="auto"/>
              <w:ind w:firstLine="0"/>
              <w:jc w:val="center"/>
              <w:rPr>
                <w:sz w:val="24"/>
              </w:rPr>
            </w:pPr>
            <w:r>
              <w:rPr>
                <w:rFonts w:hint="eastAsia"/>
                <w:sz w:val="24"/>
              </w:rPr>
              <w:t>参与投标的技术商务要求</w:t>
            </w:r>
          </w:p>
        </w:tc>
        <w:tc>
          <w:tcPr>
            <w:tcW w:w="897" w:type="dxa"/>
            <w:vAlign w:val="center"/>
          </w:tcPr>
          <w:p w14:paraId="7C0DFFEA">
            <w:pPr>
              <w:widowControl/>
              <w:spacing w:line="240" w:lineRule="auto"/>
              <w:ind w:firstLine="0"/>
              <w:jc w:val="center"/>
              <w:rPr>
                <w:sz w:val="24"/>
              </w:rPr>
            </w:pPr>
            <w:r>
              <w:rPr>
                <w:rFonts w:hint="eastAsia"/>
                <w:sz w:val="24"/>
              </w:rPr>
              <w:t>有无偏离</w:t>
            </w:r>
          </w:p>
        </w:tc>
        <w:tc>
          <w:tcPr>
            <w:tcW w:w="2221" w:type="dxa"/>
            <w:vAlign w:val="center"/>
          </w:tcPr>
          <w:p w14:paraId="45086319">
            <w:pPr>
              <w:widowControl/>
              <w:spacing w:line="240" w:lineRule="auto"/>
              <w:ind w:firstLine="0"/>
              <w:jc w:val="center"/>
              <w:rPr>
                <w:sz w:val="24"/>
              </w:rPr>
            </w:pPr>
            <w:r>
              <w:rPr>
                <w:rFonts w:hint="eastAsia"/>
                <w:sz w:val="24"/>
              </w:rPr>
              <w:t>偏离内容及原因</w:t>
            </w:r>
          </w:p>
        </w:tc>
      </w:tr>
      <w:tr w14:paraId="46FE2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75" w:type="dxa"/>
            <w:vAlign w:val="center"/>
          </w:tcPr>
          <w:p w14:paraId="5A98EF3D">
            <w:pPr>
              <w:widowControl/>
              <w:spacing w:line="240" w:lineRule="auto"/>
              <w:ind w:firstLine="0"/>
              <w:jc w:val="center"/>
              <w:rPr>
                <w:sz w:val="24"/>
              </w:rPr>
            </w:pPr>
          </w:p>
        </w:tc>
        <w:tc>
          <w:tcPr>
            <w:tcW w:w="1362" w:type="dxa"/>
            <w:vAlign w:val="center"/>
          </w:tcPr>
          <w:p w14:paraId="602616B7">
            <w:pPr>
              <w:widowControl/>
              <w:spacing w:line="240" w:lineRule="auto"/>
              <w:ind w:firstLine="0"/>
              <w:jc w:val="center"/>
              <w:rPr>
                <w:sz w:val="24"/>
              </w:rPr>
            </w:pPr>
          </w:p>
        </w:tc>
        <w:tc>
          <w:tcPr>
            <w:tcW w:w="3398" w:type="dxa"/>
            <w:vAlign w:val="center"/>
          </w:tcPr>
          <w:p w14:paraId="7A0FFA59">
            <w:pPr>
              <w:widowControl/>
              <w:spacing w:line="240" w:lineRule="auto"/>
              <w:ind w:firstLine="0"/>
              <w:jc w:val="center"/>
              <w:rPr>
                <w:sz w:val="24"/>
              </w:rPr>
            </w:pPr>
          </w:p>
        </w:tc>
        <w:tc>
          <w:tcPr>
            <w:tcW w:w="2359" w:type="dxa"/>
            <w:vAlign w:val="center"/>
          </w:tcPr>
          <w:p w14:paraId="16C7F8E4">
            <w:pPr>
              <w:widowControl/>
              <w:spacing w:line="240" w:lineRule="auto"/>
              <w:ind w:firstLine="0"/>
              <w:jc w:val="center"/>
              <w:rPr>
                <w:sz w:val="24"/>
              </w:rPr>
            </w:pPr>
          </w:p>
        </w:tc>
        <w:tc>
          <w:tcPr>
            <w:tcW w:w="897" w:type="dxa"/>
            <w:vAlign w:val="center"/>
          </w:tcPr>
          <w:p w14:paraId="557F05F7">
            <w:pPr>
              <w:widowControl/>
              <w:spacing w:line="240" w:lineRule="auto"/>
              <w:ind w:firstLine="0"/>
              <w:jc w:val="center"/>
              <w:rPr>
                <w:sz w:val="24"/>
              </w:rPr>
            </w:pPr>
          </w:p>
        </w:tc>
        <w:tc>
          <w:tcPr>
            <w:tcW w:w="2221" w:type="dxa"/>
            <w:vAlign w:val="center"/>
          </w:tcPr>
          <w:p w14:paraId="03EFE456">
            <w:pPr>
              <w:widowControl/>
              <w:spacing w:line="240" w:lineRule="auto"/>
              <w:ind w:firstLine="0"/>
              <w:jc w:val="center"/>
              <w:rPr>
                <w:sz w:val="24"/>
              </w:rPr>
            </w:pPr>
          </w:p>
        </w:tc>
      </w:tr>
      <w:tr w14:paraId="5E292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75" w:type="dxa"/>
            <w:vAlign w:val="center"/>
          </w:tcPr>
          <w:p w14:paraId="300A634A">
            <w:pPr>
              <w:widowControl/>
              <w:spacing w:line="240" w:lineRule="auto"/>
              <w:ind w:firstLine="0"/>
              <w:jc w:val="center"/>
              <w:rPr>
                <w:sz w:val="24"/>
              </w:rPr>
            </w:pPr>
          </w:p>
        </w:tc>
        <w:tc>
          <w:tcPr>
            <w:tcW w:w="1362" w:type="dxa"/>
            <w:vAlign w:val="center"/>
          </w:tcPr>
          <w:p w14:paraId="0A3E7C5D">
            <w:pPr>
              <w:widowControl/>
              <w:spacing w:line="240" w:lineRule="auto"/>
              <w:ind w:firstLine="0"/>
              <w:jc w:val="center"/>
              <w:rPr>
                <w:sz w:val="24"/>
              </w:rPr>
            </w:pPr>
          </w:p>
        </w:tc>
        <w:tc>
          <w:tcPr>
            <w:tcW w:w="3398" w:type="dxa"/>
            <w:vAlign w:val="center"/>
          </w:tcPr>
          <w:p w14:paraId="3A099326">
            <w:pPr>
              <w:pStyle w:val="244"/>
              <w:spacing w:line="360" w:lineRule="auto"/>
              <w:ind w:firstLine="0"/>
              <w:rPr>
                <w:sz w:val="22"/>
                <w:szCs w:val="22"/>
              </w:rPr>
            </w:pPr>
          </w:p>
        </w:tc>
        <w:tc>
          <w:tcPr>
            <w:tcW w:w="2359" w:type="dxa"/>
            <w:vAlign w:val="center"/>
          </w:tcPr>
          <w:p w14:paraId="169075BC">
            <w:pPr>
              <w:widowControl/>
              <w:spacing w:line="240" w:lineRule="auto"/>
              <w:ind w:firstLine="0"/>
              <w:jc w:val="center"/>
              <w:rPr>
                <w:sz w:val="24"/>
              </w:rPr>
            </w:pPr>
          </w:p>
        </w:tc>
        <w:tc>
          <w:tcPr>
            <w:tcW w:w="897" w:type="dxa"/>
            <w:vAlign w:val="center"/>
          </w:tcPr>
          <w:p w14:paraId="3CCBDAE3">
            <w:pPr>
              <w:widowControl/>
              <w:spacing w:line="240" w:lineRule="auto"/>
              <w:ind w:firstLine="0"/>
              <w:jc w:val="center"/>
              <w:rPr>
                <w:sz w:val="24"/>
              </w:rPr>
            </w:pPr>
          </w:p>
        </w:tc>
        <w:tc>
          <w:tcPr>
            <w:tcW w:w="2221" w:type="dxa"/>
            <w:vAlign w:val="center"/>
          </w:tcPr>
          <w:p w14:paraId="08615DE4">
            <w:pPr>
              <w:widowControl/>
              <w:spacing w:line="240" w:lineRule="auto"/>
              <w:ind w:firstLine="0"/>
              <w:jc w:val="center"/>
              <w:rPr>
                <w:sz w:val="24"/>
              </w:rPr>
            </w:pPr>
          </w:p>
        </w:tc>
      </w:tr>
      <w:tr w14:paraId="5C2B8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75" w:type="dxa"/>
            <w:vAlign w:val="center"/>
          </w:tcPr>
          <w:p w14:paraId="5A0F07EF">
            <w:pPr>
              <w:widowControl/>
              <w:spacing w:line="240" w:lineRule="auto"/>
              <w:ind w:firstLine="0"/>
              <w:jc w:val="center"/>
              <w:rPr>
                <w:sz w:val="24"/>
              </w:rPr>
            </w:pPr>
          </w:p>
        </w:tc>
        <w:tc>
          <w:tcPr>
            <w:tcW w:w="1362" w:type="dxa"/>
            <w:vAlign w:val="center"/>
          </w:tcPr>
          <w:p w14:paraId="0543B1D2">
            <w:pPr>
              <w:widowControl/>
              <w:spacing w:line="240" w:lineRule="auto"/>
              <w:ind w:firstLine="0"/>
              <w:jc w:val="center"/>
              <w:rPr>
                <w:sz w:val="24"/>
              </w:rPr>
            </w:pPr>
          </w:p>
        </w:tc>
        <w:tc>
          <w:tcPr>
            <w:tcW w:w="3398" w:type="dxa"/>
            <w:vAlign w:val="center"/>
          </w:tcPr>
          <w:p w14:paraId="380816CF">
            <w:pPr>
              <w:pStyle w:val="244"/>
              <w:spacing w:line="360" w:lineRule="auto"/>
              <w:ind w:firstLine="0"/>
              <w:rPr>
                <w:sz w:val="24"/>
              </w:rPr>
            </w:pPr>
          </w:p>
        </w:tc>
        <w:tc>
          <w:tcPr>
            <w:tcW w:w="2359" w:type="dxa"/>
            <w:vAlign w:val="center"/>
          </w:tcPr>
          <w:p w14:paraId="281D723C">
            <w:pPr>
              <w:widowControl/>
              <w:spacing w:line="240" w:lineRule="auto"/>
              <w:ind w:firstLine="0"/>
              <w:jc w:val="center"/>
              <w:rPr>
                <w:sz w:val="24"/>
              </w:rPr>
            </w:pPr>
          </w:p>
        </w:tc>
        <w:tc>
          <w:tcPr>
            <w:tcW w:w="897" w:type="dxa"/>
            <w:vAlign w:val="center"/>
          </w:tcPr>
          <w:p w14:paraId="0ACA1DF0">
            <w:pPr>
              <w:widowControl/>
              <w:spacing w:line="240" w:lineRule="auto"/>
              <w:ind w:firstLine="0"/>
              <w:jc w:val="center"/>
              <w:rPr>
                <w:sz w:val="24"/>
              </w:rPr>
            </w:pPr>
          </w:p>
        </w:tc>
        <w:tc>
          <w:tcPr>
            <w:tcW w:w="2221" w:type="dxa"/>
            <w:vAlign w:val="center"/>
          </w:tcPr>
          <w:p w14:paraId="16A24557">
            <w:pPr>
              <w:widowControl/>
              <w:spacing w:line="240" w:lineRule="auto"/>
              <w:ind w:firstLine="0"/>
              <w:jc w:val="center"/>
              <w:rPr>
                <w:sz w:val="24"/>
              </w:rPr>
            </w:pPr>
          </w:p>
        </w:tc>
      </w:tr>
      <w:tr w14:paraId="2831E5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75" w:type="dxa"/>
            <w:vAlign w:val="center"/>
          </w:tcPr>
          <w:p w14:paraId="5BE62450">
            <w:pPr>
              <w:widowControl/>
              <w:spacing w:line="240" w:lineRule="auto"/>
              <w:ind w:firstLine="0"/>
              <w:jc w:val="center"/>
              <w:rPr>
                <w:sz w:val="24"/>
              </w:rPr>
            </w:pPr>
          </w:p>
        </w:tc>
        <w:tc>
          <w:tcPr>
            <w:tcW w:w="1362" w:type="dxa"/>
            <w:vAlign w:val="center"/>
          </w:tcPr>
          <w:p w14:paraId="6137FEAB">
            <w:pPr>
              <w:widowControl/>
              <w:spacing w:line="240" w:lineRule="auto"/>
              <w:ind w:firstLine="0"/>
              <w:jc w:val="center"/>
              <w:rPr>
                <w:sz w:val="24"/>
              </w:rPr>
            </w:pPr>
          </w:p>
        </w:tc>
        <w:tc>
          <w:tcPr>
            <w:tcW w:w="3398" w:type="dxa"/>
            <w:vAlign w:val="center"/>
          </w:tcPr>
          <w:p w14:paraId="20A4EB8B">
            <w:pPr>
              <w:pStyle w:val="244"/>
              <w:spacing w:line="360" w:lineRule="auto"/>
              <w:ind w:firstLine="0"/>
              <w:rPr>
                <w:sz w:val="24"/>
              </w:rPr>
            </w:pPr>
          </w:p>
        </w:tc>
        <w:tc>
          <w:tcPr>
            <w:tcW w:w="2359" w:type="dxa"/>
            <w:vAlign w:val="center"/>
          </w:tcPr>
          <w:p w14:paraId="5F7A8DCC">
            <w:pPr>
              <w:widowControl/>
              <w:spacing w:line="240" w:lineRule="auto"/>
              <w:ind w:firstLine="0"/>
              <w:jc w:val="center"/>
              <w:rPr>
                <w:sz w:val="24"/>
              </w:rPr>
            </w:pPr>
          </w:p>
        </w:tc>
        <w:tc>
          <w:tcPr>
            <w:tcW w:w="897" w:type="dxa"/>
            <w:vAlign w:val="center"/>
          </w:tcPr>
          <w:p w14:paraId="13ED0DD2">
            <w:pPr>
              <w:widowControl/>
              <w:spacing w:line="240" w:lineRule="auto"/>
              <w:ind w:firstLine="0"/>
              <w:jc w:val="center"/>
              <w:rPr>
                <w:sz w:val="24"/>
              </w:rPr>
            </w:pPr>
          </w:p>
        </w:tc>
        <w:tc>
          <w:tcPr>
            <w:tcW w:w="2221" w:type="dxa"/>
            <w:vAlign w:val="center"/>
          </w:tcPr>
          <w:p w14:paraId="1A03084E">
            <w:pPr>
              <w:widowControl/>
              <w:spacing w:line="240" w:lineRule="auto"/>
              <w:ind w:firstLine="0"/>
              <w:jc w:val="center"/>
              <w:rPr>
                <w:sz w:val="24"/>
              </w:rPr>
            </w:pPr>
          </w:p>
        </w:tc>
      </w:tr>
      <w:tr w14:paraId="7A664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75" w:type="dxa"/>
            <w:vAlign w:val="center"/>
          </w:tcPr>
          <w:p w14:paraId="3BE9E917">
            <w:pPr>
              <w:widowControl/>
              <w:spacing w:line="240" w:lineRule="auto"/>
              <w:ind w:firstLine="0"/>
              <w:jc w:val="center"/>
              <w:rPr>
                <w:sz w:val="24"/>
              </w:rPr>
            </w:pPr>
          </w:p>
        </w:tc>
        <w:tc>
          <w:tcPr>
            <w:tcW w:w="1362" w:type="dxa"/>
            <w:vAlign w:val="center"/>
          </w:tcPr>
          <w:p w14:paraId="0FAB7E4F">
            <w:pPr>
              <w:widowControl/>
              <w:spacing w:line="240" w:lineRule="auto"/>
              <w:ind w:firstLine="0"/>
              <w:jc w:val="center"/>
              <w:rPr>
                <w:sz w:val="24"/>
              </w:rPr>
            </w:pPr>
          </w:p>
        </w:tc>
        <w:tc>
          <w:tcPr>
            <w:tcW w:w="3398" w:type="dxa"/>
            <w:vAlign w:val="center"/>
          </w:tcPr>
          <w:p w14:paraId="15A4951E">
            <w:pPr>
              <w:widowControl/>
              <w:spacing w:line="240" w:lineRule="auto"/>
              <w:ind w:firstLine="0"/>
              <w:jc w:val="center"/>
              <w:rPr>
                <w:sz w:val="24"/>
              </w:rPr>
            </w:pPr>
          </w:p>
        </w:tc>
        <w:tc>
          <w:tcPr>
            <w:tcW w:w="2359" w:type="dxa"/>
            <w:vAlign w:val="center"/>
          </w:tcPr>
          <w:p w14:paraId="57DF2A32">
            <w:pPr>
              <w:widowControl/>
              <w:spacing w:line="240" w:lineRule="auto"/>
              <w:ind w:firstLine="0"/>
              <w:jc w:val="center"/>
              <w:rPr>
                <w:sz w:val="24"/>
              </w:rPr>
            </w:pPr>
          </w:p>
        </w:tc>
        <w:tc>
          <w:tcPr>
            <w:tcW w:w="897" w:type="dxa"/>
            <w:vAlign w:val="center"/>
          </w:tcPr>
          <w:p w14:paraId="0243C7F8">
            <w:pPr>
              <w:widowControl/>
              <w:spacing w:line="240" w:lineRule="auto"/>
              <w:ind w:firstLine="0"/>
              <w:jc w:val="center"/>
              <w:rPr>
                <w:sz w:val="24"/>
              </w:rPr>
            </w:pPr>
          </w:p>
        </w:tc>
        <w:tc>
          <w:tcPr>
            <w:tcW w:w="2221" w:type="dxa"/>
            <w:vAlign w:val="center"/>
          </w:tcPr>
          <w:p w14:paraId="0667C734">
            <w:pPr>
              <w:widowControl/>
              <w:spacing w:line="240" w:lineRule="auto"/>
              <w:ind w:firstLine="0"/>
              <w:jc w:val="center"/>
              <w:rPr>
                <w:sz w:val="24"/>
              </w:rPr>
            </w:pPr>
          </w:p>
        </w:tc>
      </w:tr>
      <w:tr w14:paraId="44FF85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75" w:type="dxa"/>
            <w:vAlign w:val="center"/>
          </w:tcPr>
          <w:p w14:paraId="2E8EB6E5">
            <w:pPr>
              <w:widowControl/>
              <w:spacing w:line="240" w:lineRule="auto"/>
              <w:ind w:firstLine="0"/>
              <w:jc w:val="center"/>
              <w:rPr>
                <w:sz w:val="24"/>
              </w:rPr>
            </w:pPr>
          </w:p>
        </w:tc>
        <w:tc>
          <w:tcPr>
            <w:tcW w:w="1362" w:type="dxa"/>
            <w:vAlign w:val="center"/>
          </w:tcPr>
          <w:p w14:paraId="2770D988">
            <w:pPr>
              <w:widowControl/>
              <w:spacing w:line="240" w:lineRule="auto"/>
              <w:ind w:firstLine="0"/>
              <w:jc w:val="center"/>
              <w:rPr>
                <w:sz w:val="24"/>
              </w:rPr>
            </w:pPr>
          </w:p>
        </w:tc>
        <w:tc>
          <w:tcPr>
            <w:tcW w:w="3398" w:type="dxa"/>
            <w:vAlign w:val="center"/>
          </w:tcPr>
          <w:p w14:paraId="77F3D171">
            <w:pPr>
              <w:widowControl/>
              <w:spacing w:line="240" w:lineRule="auto"/>
              <w:ind w:firstLine="0"/>
              <w:jc w:val="center"/>
              <w:rPr>
                <w:sz w:val="24"/>
              </w:rPr>
            </w:pPr>
          </w:p>
        </w:tc>
        <w:tc>
          <w:tcPr>
            <w:tcW w:w="2359" w:type="dxa"/>
            <w:vAlign w:val="center"/>
          </w:tcPr>
          <w:p w14:paraId="57E82741">
            <w:pPr>
              <w:widowControl/>
              <w:spacing w:line="240" w:lineRule="auto"/>
              <w:ind w:firstLine="0"/>
              <w:jc w:val="center"/>
              <w:rPr>
                <w:sz w:val="24"/>
              </w:rPr>
            </w:pPr>
          </w:p>
        </w:tc>
        <w:tc>
          <w:tcPr>
            <w:tcW w:w="897" w:type="dxa"/>
            <w:vAlign w:val="center"/>
          </w:tcPr>
          <w:p w14:paraId="651D8D83">
            <w:pPr>
              <w:widowControl/>
              <w:spacing w:line="240" w:lineRule="auto"/>
              <w:ind w:firstLine="0"/>
              <w:jc w:val="center"/>
              <w:rPr>
                <w:sz w:val="24"/>
              </w:rPr>
            </w:pPr>
          </w:p>
        </w:tc>
        <w:tc>
          <w:tcPr>
            <w:tcW w:w="2221" w:type="dxa"/>
            <w:vAlign w:val="center"/>
          </w:tcPr>
          <w:p w14:paraId="1BCE9E54">
            <w:pPr>
              <w:widowControl/>
              <w:spacing w:line="240" w:lineRule="auto"/>
              <w:ind w:firstLine="0"/>
              <w:jc w:val="center"/>
              <w:rPr>
                <w:sz w:val="24"/>
              </w:rPr>
            </w:pPr>
          </w:p>
        </w:tc>
      </w:tr>
      <w:tr w14:paraId="13BF31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75" w:type="dxa"/>
            <w:vAlign w:val="center"/>
          </w:tcPr>
          <w:p w14:paraId="6EAD561C">
            <w:pPr>
              <w:widowControl/>
              <w:spacing w:line="240" w:lineRule="auto"/>
              <w:ind w:firstLine="0"/>
              <w:jc w:val="center"/>
              <w:rPr>
                <w:sz w:val="24"/>
              </w:rPr>
            </w:pPr>
          </w:p>
        </w:tc>
        <w:tc>
          <w:tcPr>
            <w:tcW w:w="1362" w:type="dxa"/>
            <w:vAlign w:val="center"/>
          </w:tcPr>
          <w:p w14:paraId="48EDA50E">
            <w:pPr>
              <w:widowControl/>
              <w:spacing w:line="240" w:lineRule="auto"/>
              <w:ind w:firstLine="0"/>
              <w:jc w:val="center"/>
              <w:rPr>
                <w:sz w:val="24"/>
              </w:rPr>
            </w:pPr>
          </w:p>
        </w:tc>
        <w:tc>
          <w:tcPr>
            <w:tcW w:w="3398" w:type="dxa"/>
            <w:vAlign w:val="center"/>
          </w:tcPr>
          <w:p w14:paraId="0BE2605E">
            <w:pPr>
              <w:widowControl/>
              <w:spacing w:line="240" w:lineRule="auto"/>
              <w:ind w:firstLine="0"/>
              <w:jc w:val="center"/>
              <w:rPr>
                <w:sz w:val="24"/>
              </w:rPr>
            </w:pPr>
          </w:p>
        </w:tc>
        <w:tc>
          <w:tcPr>
            <w:tcW w:w="2359" w:type="dxa"/>
            <w:vAlign w:val="center"/>
          </w:tcPr>
          <w:p w14:paraId="2D53E2FD">
            <w:pPr>
              <w:widowControl/>
              <w:spacing w:line="240" w:lineRule="auto"/>
              <w:ind w:firstLine="0"/>
              <w:jc w:val="center"/>
              <w:rPr>
                <w:sz w:val="24"/>
              </w:rPr>
            </w:pPr>
          </w:p>
        </w:tc>
        <w:tc>
          <w:tcPr>
            <w:tcW w:w="897" w:type="dxa"/>
            <w:vAlign w:val="center"/>
          </w:tcPr>
          <w:p w14:paraId="4F1253B3">
            <w:pPr>
              <w:widowControl/>
              <w:spacing w:line="240" w:lineRule="auto"/>
              <w:ind w:firstLine="0"/>
              <w:jc w:val="center"/>
              <w:rPr>
                <w:sz w:val="24"/>
              </w:rPr>
            </w:pPr>
          </w:p>
        </w:tc>
        <w:tc>
          <w:tcPr>
            <w:tcW w:w="2221" w:type="dxa"/>
            <w:vAlign w:val="center"/>
          </w:tcPr>
          <w:p w14:paraId="4709569F">
            <w:pPr>
              <w:widowControl/>
              <w:spacing w:line="240" w:lineRule="auto"/>
              <w:ind w:firstLine="0"/>
              <w:jc w:val="center"/>
              <w:rPr>
                <w:sz w:val="24"/>
              </w:rPr>
            </w:pPr>
          </w:p>
        </w:tc>
      </w:tr>
    </w:tbl>
    <w:p w14:paraId="2FDF2723">
      <w:pPr>
        <w:widowControl/>
        <w:ind w:firstLine="482"/>
        <w:jc w:val="left"/>
        <w:rPr>
          <w:rFonts w:ascii="宋体" w:hAnsi="宋体" w:cs="宋体"/>
          <w:b/>
          <w:bCs/>
          <w:sz w:val="24"/>
        </w:rPr>
      </w:pPr>
      <w:r>
        <w:rPr>
          <w:rFonts w:hint="eastAsia" w:ascii="宋体" w:hAnsi="宋体" w:cs="宋体"/>
          <w:b/>
          <w:bCs/>
          <w:sz w:val="24"/>
        </w:rPr>
        <w:t>注：</w:t>
      </w:r>
    </w:p>
    <w:p w14:paraId="2E3CFF94">
      <w:pPr>
        <w:widowControl/>
        <w:ind w:firstLine="482"/>
        <w:jc w:val="left"/>
        <w:rPr>
          <w:rFonts w:ascii="宋体" w:hAnsi="宋体" w:cs="宋体"/>
          <w:b/>
          <w:bCs/>
          <w:sz w:val="24"/>
        </w:rPr>
      </w:pPr>
      <w:r>
        <w:rPr>
          <w:rFonts w:hint="eastAsia" w:ascii="宋体" w:hAnsi="宋体" w:cs="宋体"/>
          <w:b/>
          <w:bCs/>
          <w:sz w:val="24"/>
        </w:rPr>
        <w:t>1.投标人须根据“项目需求”中的技术商务要求，对照所投货物或服务进行逐项填写。因未标明或表述含糊导致的评标风险将由投标人承担。</w:t>
      </w:r>
    </w:p>
    <w:p w14:paraId="19D6E0C3">
      <w:pPr>
        <w:widowControl/>
        <w:ind w:firstLine="482"/>
        <w:jc w:val="left"/>
        <w:rPr>
          <w:rFonts w:ascii="宋体" w:hAnsi="宋体" w:cs="宋体"/>
          <w:b/>
          <w:bCs/>
          <w:sz w:val="24"/>
        </w:rPr>
      </w:pPr>
      <w:bookmarkStart w:id="211" w:name="_Toc24055"/>
      <w:r>
        <w:rPr>
          <w:rFonts w:hint="eastAsia" w:ascii="宋体" w:hAnsi="宋体" w:cs="宋体"/>
          <w:b/>
          <w:bCs/>
          <w:sz w:val="24"/>
        </w:rPr>
        <w:t>2.表格不够可另接。</w:t>
      </w:r>
      <w:bookmarkEnd w:id="211"/>
    </w:p>
    <w:p w14:paraId="4CEC91F5">
      <w:pPr>
        <w:pStyle w:val="2"/>
        <w:widowControl/>
        <w:ind w:firstLine="0"/>
        <w:rPr>
          <w:b/>
          <w:bCs/>
          <w:sz w:val="32"/>
          <w:szCs w:val="32"/>
        </w:rPr>
      </w:pPr>
    </w:p>
    <w:p w14:paraId="6FE05355">
      <w:pPr>
        <w:pageBreakBefore/>
        <w:numPr>
          <w:ilvl w:val="0"/>
          <w:numId w:val="15"/>
        </w:numPr>
        <w:spacing w:before="120" w:after="120"/>
        <w:jc w:val="center"/>
        <w:outlineLvl w:val="1"/>
        <w:rPr>
          <w:rFonts w:ascii="宋体" w:hAnsi="宋体"/>
          <w:b/>
          <w:sz w:val="32"/>
          <w:szCs w:val="40"/>
        </w:rPr>
      </w:pPr>
      <w:r>
        <w:rPr>
          <w:rFonts w:hint="eastAsia" w:ascii="宋体" w:hAnsi="宋体"/>
          <w:b/>
          <w:sz w:val="32"/>
          <w:szCs w:val="40"/>
        </w:rPr>
        <w:t>技术</w:t>
      </w:r>
      <w:r>
        <w:rPr>
          <w:b/>
          <w:bCs/>
          <w:sz w:val="32"/>
          <w:szCs w:val="32"/>
        </w:rPr>
        <w:t>方案</w:t>
      </w:r>
      <w:r>
        <w:rPr>
          <w:rFonts w:ascii="宋体" w:hAnsi="宋体"/>
          <w:b/>
          <w:sz w:val="32"/>
          <w:szCs w:val="40"/>
        </w:rPr>
        <w:t>、服务方案</w:t>
      </w:r>
    </w:p>
    <w:p w14:paraId="0DBD2F4D">
      <w:pPr>
        <w:pStyle w:val="2"/>
        <w:widowControl/>
        <w:ind w:firstLine="0"/>
        <w:rPr>
          <w:rFonts w:ascii="Times New Roman" w:hAnsi="Times New Roman"/>
          <w:b/>
          <w:bCs/>
        </w:rPr>
      </w:pPr>
    </w:p>
    <w:p w14:paraId="47208FE5">
      <w:pPr>
        <w:pStyle w:val="2"/>
        <w:widowControl/>
        <w:ind w:firstLine="0"/>
        <w:rPr>
          <w:rFonts w:ascii="Times New Roman" w:hAnsi="Times New Roman"/>
          <w:b/>
          <w:bCs/>
        </w:rPr>
      </w:pPr>
    </w:p>
    <w:p w14:paraId="307FCA46">
      <w:pPr>
        <w:pStyle w:val="2"/>
        <w:widowControl/>
        <w:ind w:firstLine="0"/>
        <w:rPr>
          <w:b/>
          <w:bCs/>
          <w:sz w:val="32"/>
          <w:szCs w:val="32"/>
        </w:rPr>
      </w:pPr>
      <w:r>
        <w:rPr>
          <w:rFonts w:ascii="Times New Roman" w:hAnsi="Times New Roman"/>
          <w:b/>
          <w:bCs/>
        </w:rPr>
        <w:t>注：</w:t>
      </w:r>
      <w:r>
        <w:rPr>
          <w:rFonts w:hint="eastAsia" w:cs="Arial"/>
          <w:b/>
          <w:bCs/>
          <w:szCs w:val="21"/>
        </w:rPr>
        <w:t>方案内容的编排等由投标人根据项目需求及评分标准自拟</w:t>
      </w:r>
      <w:r>
        <w:rPr>
          <w:rFonts w:ascii="Times New Roman" w:hAnsi="Times New Roman"/>
          <w:b/>
          <w:bCs/>
        </w:rPr>
        <w:t>。</w:t>
      </w:r>
    </w:p>
    <w:p w14:paraId="534CD26C">
      <w:pPr>
        <w:pageBreakBefore/>
        <w:numPr>
          <w:ilvl w:val="0"/>
          <w:numId w:val="15"/>
        </w:numPr>
        <w:spacing w:before="120" w:after="120"/>
        <w:jc w:val="center"/>
        <w:outlineLvl w:val="1"/>
        <w:rPr>
          <w:b/>
          <w:bCs/>
          <w:sz w:val="32"/>
          <w:szCs w:val="32"/>
        </w:rPr>
      </w:pPr>
      <w:r>
        <w:rPr>
          <w:rFonts w:hint="eastAsia" w:ascii="宋体" w:hAnsi="宋体"/>
          <w:b/>
          <w:sz w:val="32"/>
          <w:szCs w:val="32"/>
        </w:rPr>
        <w:t>投标人情况介绍</w:t>
      </w:r>
    </w:p>
    <w:p w14:paraId="4DC169F4">
      <w:pPr>
        <w:pStyle w:val="51"/>
        <w:widowControl/>
        <w:tabs>
          <w:tab w:val="left" w:pos="1484"/>
        </w:tabs>
        <w:spacing w:after="0" w:line="360" w:lineRule="auto"/>
        <w:ind w:firstLine="0"/>
        <w:rPr>
          <w:rFonts w:ascii="宋体" w:hAnsi="宋体" w:cs="宋体"/>
          <w:sz w:val="24"/>
          <w:szCs w:val="32"/>
        </w:rPr>
      </w:pPr>
      <w:r>
        <w:rPr>
          <w:rFonts w:hint="eastAsia" w:ascii="宋体" w:hAnsi="宋体" w:cs="宋体"/>
          <w:sz w:val="24"/>
          <w:szCs w:val="32"/>
        </w:rPr>
        <w:t>包括但不限于：</w:t>
      </w:r>
    </w:p>
    <w:p w14:paraId="07C02335">
      <w:pPr>
        <w:pStyle w:val="51"/>
        <w:tabs>
          <w:tab w:val="left" w:pos="1484"/>
        </w:tabs>
        <w:rPr>
          <w:rFonts w:ascii="宋体" w:hAnsi="宋体" w:cs="宋体"/>
          <w:sz w:val="24"/>
        </w:rPr>
      </w:pPr>
      <w:r>
        <w:rPr>
          <w:rFonts w:hint="eastAsia" w:ascii="宋体" w:hAnsi="宋体" w:cs="宋体"/>
          <w:sz w:val="24"/>
        </w:rPr>
        <w:t>1.类似项目业绩一览表</w:t>
      </w:r>
    </w:p>
    <w:p w14:paraId="72AA7DB8">
      <w:pPr>
        <w:pStyle w:val="51"/>
        <w:tabs>
          <w:tab w:val="left" w:pos="1484"/>
        </w:tabs>
        <w:rPr>
          <w:rFonts w:ascii="宋体" w:hAnsi="宋体" w:cs="宋体"/>
          <w:sz w:val="24"/>
        </w:rPr>
      </w:pPr>
      <w:r>
        <w:rPr>
          <w:rFonts w:hint="eastAsia" w:ascii="宋体" w:hAnsi="宋体" w:cs="宋体"/>
          <w:sz w:val="24"/>
        </w:rPr>
        <w:t>2.项目负责人及其他人员介绍</w:t>
      </w:r>
    </w:p>
    <w:p w14:paraId="1DBB46BF">
      <w:pPr>
        <w:pStyle w:val="51"/>
        <w:tabs>
          <w:tab w:val="left" w:pos="1484"/>
        </w:tabs>
        <w:rPr>
          <w:rFonts w:ascii="宋体" w:hAnsi="宋体" w:cs="宋体"/>
          <w:sz w:val="24"/>
        </w:rPr>
      </w:pPr>
      <w:r>
        <w:rPr>
          <w:rFonts w:hint="eastAsia" w:ascii="宋体" w:hAnsi="宋体" w:cs="宋体"/>
          <w:sz w:val="24"/>
        </w:rPr>
        <w:t>3.拥有的相关证书奖项</w:t>
      </w:r>
    </w:p>
    <w:p w14:paraId="646342EA">
      <w:pPr>
        <w:ind w:firstLine="420"/>
      </w:pPr>
      <w:r>
        <w:rPr>
          <w:rFonts w:hint="eastAsia"/>
        </w:rPr>
        <w:t>.............</w:t>
      </w:r>
    </w:p>
    <w:p w14:paraId="06BC9821">
      <w:pPr>
        <w:pStyle w:val="2"/>
      </w:pPr>
    </w:p>
    <w:p w14:paraId="1AD63C47">
      <w:pPr>
        <w:pStyle w:val="2"/>
      </w:pPr>
    </w:p>
    <w:p w14:paraId="3A419380">
      <w:pPr>
        <w:pStyle w:val="2"/>
      </w:pPr>
    </w:p>
    <w:p w14:paraId="60402FF9">
      <w:pPr>
        <w:pStyle w:val="51"/>
        <w:tabs>
          <w:tab w:val="left" w:pos="1484"/>
        </w:tabs>
        <w:jc w:val="right"/>
        <w:rPr>
          <w:b/>
          <w:bCs/>
          <w:sz w:val="32"/>
          <w:szCs w:val="32"/>
        </w:rPr>
      </w:pPr>
      <w:r>
        <w:rPr>
          <w:rFonts w:hint="eastAsia" w:ascii="宋体" w:hAnsi="宋体" w:cs="宋体"/>
          <w:sz w:val="24"/>
        </w:rPr>
        <w:t>全文完。</w:t>
      </w:r>
    </w:p>
    <w:sectPr>
      <w:headerReference r:id="rId13" w:type="default"/>
      <w:footerReference r:id="rId14" w:type="default"/>
      <w:footnotePr>
        <w:numFmt w:val="decimalEnclosedCircleChinese"/>
      </w:footnotePr>
      <w:pgSz w:w="11906" w:h="16838"/>
      <w:pgMar w:top="1440" w:right="1423" w:bottom="1440" w:left="1423" w:header="851" w:footer="850" w:gutter="0"/>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monospace">
    <w:altName w:val="Agency FB"/>
    <w:panose1 w:val="00000000000000000000"/>
    <w:charset w:val="00"/>
    <w:family w:val="auto"/>
    <w:pitch w:val="default"/>
    <w:sig w:usb0="00000000" w:usb1="00000000" w:usb2="00000000" w:usb3="00000000" w:csb0="00000000" w:csb1="00000000"/>
  </w:font>
  <w:font w:name="Agency FB">
    <w:panose1 w:val="020B0503020202020204"/>
    <w:charset w:val="00"/>
    <w:family w:val="auto"/>
    <w:pitch w:val="default"/>
    <w:sig w:usb0="00000003" w:usb1="00000000" w:usb2="00000000" w:usb3="00000000" w:csb0="20000001" w:csb1="00000000"/>
  </w:font>
  <w:font w:name="Cambria">
    <w:panose1 w:val="02040503050406030204"/>
    <w:charset w:val="00"/>
    <w:family w:val="roman"/>
    <w:pitch w:val="default"/>
    <w:sig w:usb0="E00006FF" w:usb1="420024FF" w:usb2="0200000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DD8918">
    <w:pPr>
      <w:pStyle w:val="208"/>
      <w:ind w:firstLine="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49009A">
    <w:pPr>
      <w:pStyle w:val="208"/>
      <w:ind w:firstLine="36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FBA000D">
                          <w:pPr>
                            <w:pStyle w:val="208"/>
                            <w:tabs>
                              <w:tab w:val="clear" w:pos="4153"/>
                              <w:tab w:val="clear" w:pos="8306"/>
                            </w:tabs>
                          </w:pPr>
                          <w:r>
                            <w:fldChar w:fldCharType="begin"/>
                          </w:r>
                          <w:r>
                            <w:instrText xml:space="preserve"> PAGE  \* MERGEFORMAT </w:instrText>
                          </w:r>
                          <w:r>
                            <w:fldChar w:fldCharType="separate"/>
                          </w:r>
                          <w:r>
                            <w:t>0</w:t>
                          </w:r>
                          <w:r>
                            <w:fldChar w:fldCharType="end"/>
                          </w:r>
                        </w:p>
                        <w:p w14:paraId="62A35EF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FBA000D">
                    <w:pPr>
                      <w:pStyle w:val="208"/>
                      <w:tabs>
                        <w:tab w:val="clear" w:pos="4153"/>
                        <w:tab w:val="clear" w:pos="8306"/>
                      </w:tabs>
                    </w:pPr>
                    <w:r>
                      <w:fldChar w:fldCharType="begin"/>
                    </w:r>
                    <w:r>
                      <w:instrText xml:space="preserve"> PAGE  \* MERGEFORMAT </w:instrText>
                    </w:r>
                    <w:r>
                      <w:fldChar w:fldCharType="separate"/>
                    </w:r>
                    <w:r>
                      <w:t>0</w:t>
                    </w:r>
                    <w:r>
                      <w:fldChar w:fldCharType="end"/>
                    </w:r>
                  </w:p>
                  <w:p w14:paraId="62A35EF8"/>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0F3E92">
    <w:pPr>
      <w:pStyle w:val="208"/>
      <w:ind w:firstLine="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5AD99">
    <w:pPr>
      <w:pStyle w:val="208"/>
      <w:ind w:firstLine="0"/>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E48754">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1CE48754">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DB806">
    <w:pPr>
      <w:pStyle w:val="208"/>
      <w:ind w:firstLine="36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9157B0">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2A9157B0">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C06AB">
    <w:pPr>
      <w:pStyle w:val="208"/>
      <w:ind w:firstLine="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1B89DB">
                          <w:pPr>
                            <w:pStyle w:val="2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KQhEw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ikIRMKwIAAFcEAAAOAAAAAAAAAAEAIAAAAB8BAABkcnMvZTJvRG9jLnhtbFBLBQYAAAAABgAG&#10;AFkBAAC8BQAAAAA=&#10;">
              <v:fill on="f" focussize="0,0"/>
              <v:stroke on="f" weight="0.5pt"/>
              <v:imagedata o:title=""/>
              <o:lock v:ext="edit" aspectratio="f"/>
              <v:textbox inset="0mm,0mm,0mm,0mm" style="mso-fit-shape-to-text:t;">
                <w:txbxContent>
                  <w:p w14:paraId="471B89DB">
                    <w:pPr>
                      <w:pStyle w:val="2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72EA1">
    <w:pPr>
      <w:pStyle w:val="208"/>
      <w:ind w:firstLine="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4321437">
                          <w:pPr>
                            <w:pStyle w:val="208"/>
                            <w:tabs>
                              <w:tab w:val="clear" w:pos="4153"/>
                              <w:tab w:val="clear" w:pos="8306"/>
                            </w:tabs>
                          </w:pPr>
                          <w:r>
                            <w:fldChar w:fldCharType="begin"/>
                          </w:r>
                          <w:r>
                            <w:instrText xml:space="preserve"> PAGE  \* MERGEFORMAT </w:instrText>
                          </w:r>
                          <w:r>
                            <w:fldChar w:fldCharType="separate"/>
                          </w:r>
                          <w:r>
                            <w:t>0</w:t>
                          </w:r>
                          <w:r>
                            <w:fldChar w:fldCharType="end"/>
                          </w:r>
                        </w:p>
                        <w:p w14:paraId="1E77D1E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DZL2y0gEAAKcDAAAOAAAAAAAAAAEAIAAAAB4BAABk&#10;cnMvZTJvRG9jLnhtbFBLBQYAAAAABgAGAFkBAABiBQAAAAA=&#10;">
              <v:fill on="f" focussize="0,0"/>
              <v:stroke on="f"/>
              <v:imagedata o:title=""/>
              <o:lock v:ext="edit" aspectratio="f"/>
              <v:textbox inset="0mm,0mm,0mm,0mm" style="mso-fit-shape-to-text:t;">
                <w:txbxContent>
                  <w:p w14:paraId="54321437">
                    <w:pPr>
                      <w:pStyle w:val="208"/>
                      <w:tabs>
                        <w:tab w:val="clear" w:pos="4153"/>
                        <w:tab w:val="clear" w:pos="8306"/>
                      </w:tabs>
                    </w:pPr>
                    <w:r>
                      <w:fldChar w:fldCharType="begin"/>
                    </w:r>
                    <w:r>
                      <w:instrText xml:space="preserve"> PAGE  \* MERGEFORMAT </w:instrText>
                    </w:r>
                    <w:r>
                      <w:fldChar w:fldCharType="separate"/>
                    </w:r>
                    <w:r>
                      <w:t>0</w:t>
                    </w:r>
                    <w:r>
                      <w:fldChar w:fldCharType="end"/>
                    </w:r>
                  </w:p>
                  <w:p w14:paraId="1E77D1EB"/>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A87762">
    <w:pPr>
      <w:pStyle w:val="24"/>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3B35FF">
                          <w:pPr>
                            <w:pStyle w:val="24"/>
                            <w:jc w:val="center"/>
                          </w:pPr>
                          <w:r>
                            <w:fldChar w:fldCharType="begin"/>
                          </w:r>
                          <w:r>
                            <w:instrText xml:space="preserve">PAGE \* MERGEFORMAT</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723B35FF">
                    <w:pPr>
                      <w:pStyle w:val="24"/>
                      <w:jc w:val="center"/>
                    </w:pPr>
                    <w:r>
                      <w:fldChar w:fldCharType="begin"/>
                    </w:r>
                    <w:r>
                      <w:instrText xml:space="preserve">PAGE \* MERGEFORMAT</w:instrText>
                    </w:r>
                    <w:r>
                      <w:fldChar w:fldCharType="separate"/>
                    </w:r>
                    <w:r>
                      <w:t>1</w:t>
                    </w:r>
                    <w:r>
                      <w:fldChar w:fldCharType="end"/>
                    </w:r>
                  </w:p>
                </w:txbxContent>
              </v:textbox>
            </v:shape>
          </w:pict>
        </mc:Fallback>
      </mc:AlternateContent>
    </w:r>
  </w:p>
  <w:p w14:paraId="4A5F985D">
    <w:pPr>
      <w:pStyle w:val="2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D84FE">
    <w:pPr>
      <w:pStyle w:val="209"/>
      <w:pBdr>
        <w:bottom w:val="none" w:color="000000" w:sz="0" w:space="0"/>
      </w:pBdr>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DB0112">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61FADE"/>
    <w:multiLevelType w:val="multilevel"/>
    <w:tmpl w:val="8461FADE"/>
    <w:lvl w:ilvl="0" w:tentative="0">
      <w:start w:val="1"/>
      <w:numFmt w:val="decimal"/>
      <w:suff w:val="nothing"/>
      <w:lvlText w:val="%1、"/>
      <w:lvlJc w:val="left"/>
      <w:rPr>
        <w:rFonts w:ascii="宋体" w:hAnsi="宋体" w:eastAsia="宋体" w:cs="宋体"/>
        <w:b/>
        <w:bCs/>
        <w:sz w:val="24"/>
        <w:szCs w:val="21"/>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239341B"/>
    <w:multiLevelType w:val="multilevel"/>
    <w:tmpl w:val="9239341B"/>
    <w:lvl w:ilvl="0" w:tentative="0">
      <w:start w:val="1"/>
      <w:numFmt w:val="decimal"/>
      <w:suff w:val="nothing"/>
      <w:lvlText w:val="%1."/>
      <w:lvlJc w:val="left"/>
      <w:pPr>
        <w:ind w:left="0" w:firstLine="0"/>
      </w:pPr>
      <w:rPr>
        <w:i w:val="0"/>
        <w:iCs w:val="0"/>
        <w:u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9288B902"/>
    <w:multiLevelType w:val="multilevel"/>
    <w:tmpl w:val="9288B902"/>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5E306ED"/>
    <w:multiLevelType w:val="multilevel"/>
    <w:tmpl w:val="B5E306ED"/>
    <w:lvl w:ilvl="0" w:tentative="0">
      <w:start w:val="1"/>
      <w:numFmt w:val="decimal"/>
      <w:pStyle w:val="243"/>
      <w:lvlText w:val="%1."/>
      <w:lvlJc w:val="left"/>
      <w:pPr>
        <w:tabs>
          <w:tab w:val="left" w:pos="709"/>
        </w:tabs>
        <w:ind w:left="709" w:hanging="709"/>
      </w:pPr>
    </w:lvl>
    <w:lvl w:ilvl="1" w:tentative="0">
      <w:start w:val="1"/>
      <w:numFmt w:val="decimal"/>
      <w:lvlText w:val="%1.%2"/>
      <w:lvlJc w:val="left"/>
      <w:pPr>
        <w:tabs>
          <w:tab w:val="left" w:pos="709"/>
        </w:tabs>
        <w:ind w:left="709" w:hanging="709"/>
      </w:pPr>
    </w:lvl>
    <w:lvl w:ilvl="2" w:tentative="0">
      <w:start w:val="1"/>
      <w:numFmt w:val="decimal"/>
      <w:lvlText w:val="%1.%2.%3."/>
      <w:lvlJc w:val="left"/>
      <w:pPr>
        <w:tabs>
          <w:tab w:val="left" w:pos="425"/>
        </w:tabs>
        <w:ind w:left="425" w:hanging="425"/>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4">
    <w:nsid w:val="BE923771"/>
    <w:multiLevelType w:val="multilevel"/>
    <w:tmpl w:val="BE923771"/>
    <w:lvl w:ilvl="0" w:tentative="0">
      <w:start w:val="1"/>
      <w:numFmt w:val="chineseCounting"/>
      <w:suff w:val="nothing"/>
      <w:lvlText w:val="%1、"/>
      <w:lvlJc w:val="left"/>
      <w:pPr>
        <w:ind w:left="0" w:firstLine="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8879AEF"/>
    <w:multiLevelType w:val="multilevel"/>
    <w:tmpl w:val="C8879AEF"/>
    <w:lvl w:ilvl="0" w:tentative="0">
      <w:start w:val="1"/>
      <w:numFmt w:val="decimal"/>
      <w:suff w:val="nothing"/>
      <w:lvlText w:val="%1."/>
      <w:lvlJc w:val="left"/>
      <w:pPr>
        <w:ind w:left="0" w:firstLine="0"/>
      </w:pPr>
      <w:rPr>
        <w:rFonts w:ascii="宋体" w:hAnsi="宋体" w:eastAsia="宋体" w:cs="宋体"/>
        <w:b/>
        <w:bCs/>
        <w:sz w:val="24"/>
        <w:szCs w:val="24"/>
      </w:rPr>
    </w:lvl>
    <w:lvl w:ilvl="1" w:tentative="0">
      <w:start w:val="1"/>
      <w:numFmt w:val="decimal"/>
      <w:suff w:val="nothing"/>
      <w:lvlText w:val="%1.%2."/>
      <w:lvlJc w:val="left"/>
      <w:pPr>
        <w:ind w:left="0" w:firstLine="0"/>
      </w:pPr>
      <w:rPr>
        <w:rFonts w:ascii="宋体" w:hAnsi="宋体" w:eastAsia="宋体" w:cs="宋体"/>
        <w:sz w:val="24"/>
        <w:szCs w:val="24"/>
      </w:rPr>
    </w:lvl>
    <w:lvl w:ilvl="2" w:tentative="0">
      <w:start w:val="1"/>
      <w:numFmt w:val="decimal"/>
      <w:suff w:val="nothing"/>
      <w:lvlText w:val="%1.%2.%3."/>
      <w:lvlJc w:val="left"/>
      <w:pPr>
        <w:ind w:left="0" w:firstLine="0"/>
      </w:pPr>
      <w:rPr>
        <w:rFonts w:ascii="宋体" w:hAnsi="宋体" w:eastAsia="宋体" w:cs="宋体"/>
        <w:sz w:val="24"/>
        <w:szCs w:val="24"/>
      </w:rPr>
    </w:lvl>
    <w:lvl w:ilvl="3" w:tentative="0">
      <w:start w:val="1"/>
      <w:numFmt w:val="decimal"/>
      <w:suff w:val="nothing"/>
      <w:lvlText w:val="%1.%2.%3.%4."/>
      <w:lvlJc w:val="left"/>
      <w:pPr>
        <w:ind w:left="0" w:firstLine="0"/>
      </w:pPr>
    </w:lvl>
    <w:lvl w:ilvl="4" w:tentative="0">
      <w:start w:val="1"/>
      <w:numFmt w:val="decimal"/>
      <w:suff w:val="nothing"/>
      <w:lvlText w:val="%1.%2.%3.%4.%5."/>
      <w:lvlJc w:val="left"/>
      <w:pPr>
        <w:ind w:left="0" w:firstLine="0"/>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6">
    <w:nsid w:val="D7F9FE59"/>
    <w:multiLevelType w:val="multilevel"/>
    <w:tmpl w:val="D7F9FE59"/>
    <w:lvl w:ilvl="0" w:tentative="0">
      <w:start w:val="1"/>
      <w:numFmt w:val="chineseCounting"/>
      <w:suff w:val="nothing"/>
      <w:lvlText w:val="%1、"/>
      <w:lvlJc w:val="left"/>
      <w:pPr>
        <w:ind w:left="0" w:firstLine="420"/>
      </w:pPr>
      <w:rPr>
        <w:rFonts w:hint="eastAsia" w:ascii="宋体" w:hAnsi="宋体" w:eastAsia="宋体" w:cs="宋体"/>
        <w:sz w:val="28"/>
        <w:szCs w:val="28"/>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DCBA6B53"/>
    <w:multiLevelType w:val="multilevel"/>
    <w:tmpl w:val="DCBA6B53"/>
    <w:lvl w:ilvl="0" w:tentative="0">
      <w:start w:val="1"/>
      <w:numFmt w:val="decimal"/>
      <w:suff w:val="space"/>
      <w:lvlText w:val="(%1)"/>
      <w:lvlJc w:val="left"/>
      <w:pPr>
        <w:ind w:left="0" w:firstLine="0"/>
      </w:pPr>
      <w:rPr>
        <w:rFonts w:ascii="宋体" w:hAnsi="宋体" w:eastAsia="宋体" w:cs="宋体"/>
        <w:sz w:val="24"/>
        <w:szCs w:val="24"/>
        <w:highlight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F4B5D9F5"/>
    <w:multiLevelType w:val="multilevel"/>
    <w:tmpl w:val="F4B5D9F5"/>
    <w:lvl w:ilvl="0" w:tentative="0">
      <w:start w:val="1"/>
      <w:numFmt w:val="decimal"/>
      <w:suff w:val="space"/>
      <w:lvlText w:val="(%1)"/>
      <w:lvlJc w:val="left"/>
      <w:pPr>
        <w:ind w:left="0" w:firstLine="0"/>
      </w:pPr>
      <w:rPr>
        <w:rFonts w:ascii="宋体" w:hAnsi="宋体" w:eastAsia="宋体" w:cs="宋体"/>
        <w:sz w:val="24"/>
        <w:szCs w:val="24"/>
        <w:highlight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3871FD4"/>
    <w:multiLevelType w:val="singleLevel"/>
    <w:tmpl w:val="03871FD4"/>
    <w:lvl w:ilvl="0" w:tentative="0">
      <w:start w:val="1"/>
      <w:numFmt w:val="decimal"/>
      <w:lvlText w:val="%1."/>
      <w:lvlJc w:val="left"/>
      <w:pPr>
        <w:tabs>
          <w:tab w:val="left" w:pos="312"/>
        </w:tabs>
      </w:pPr>
    </w:lvl>
  </w:abstractNum>
  <w:abstractNum w:abstractNumId="10">
    <w:nsid w:val="2476DF90"/>
    <w:multiLevelType w:val="singleLevel"/>
    <w:tmpl w:val="2476DF90"/>
    <w:lvl w:ilvl="0" w:tentative="0">
      <w:start w:val="1"/>
      <w:numFmt w:val="chineseCounting"/>
      <w:suff w:val="nothing"/>
      <w:lvlText w:val="（%1）"/>
      <w:lvlJc w:val="left"/>
      <w:rPr>
        <w:rFonts w:hint="eastAsia"/>
      </w:rPr>
    </w:lvl>
  </w:abstractNum>
  <w:abstractNum w:abstractNumId="11">
    <w:nsid w:val="25B654F3"/>
    <w:multiLevelType w:val="multilevel"/>
    <w:tmpl w:val="25B654F3"/>
    <w:lvl w:ilvl="0" w:tentative="0">
      <w:start w:val="1"/>
      <w:numFmt w:val="chineseCounting"/>
      <w:suff w:val="nothing"/>
      <w:lvlText w:val="第%1章　"/>
      <w:lvlJc w:val="left"/>
      <w:pPr>
        <w:ind w:left="0" w:firstLine="0"/>
      </w:pPr>
      <w:rPr>
        <w:rFonts w:hint="eastAsia" w:ascii="宋体" w:hAnsi="宋体" w:eastAsia="宋体" w:cs="宋体"/>
        <w:b/>
        <w:bCs/>
        <w:sz w:val="32"/>
        <w:szCs w:val="32"/>
      </w:rPr>
    </w:lvl>
    <w:lvl w:ilvl="1" w:tentative="0">
      <w:start w:val="1"/>
      <w:numFmt w:val="chineseCounting"/>
      <w:suff w:val="nothing"/>
      <w:lvlText w:val="第%2节　"/>
      <w:lvlJc w:val="left"/>
      <w:pPr>
        <w:ind w:left="0" w:firstLine="402"/>
      </w:pPr>
      <w:rPr>
        <w:rFonts w:hint="eastAsia"/>
      </w:rPr>
    </w:lvl>
    <w:lvl w:ilvl="2" w:tentative="0">
      <w:start w:val="1"/>
      <w:numFmt w:val="chineseCounting"/>
      <w:suff w:val="nothing"/>
      <w:lvlText w:val="第%3条　"/>
      <w:lvlJc w:val="left"/>
      <w:pPr>
        <w:ind w:left="0" w:firstLine="402"/>
      </w:pPr>
      <w:rPr>
        <w:rFonts w:hint="eastAsia"/>
      </w:rPr>
    </w:lvl>
    <w:lvl w:ilvl="3" w:tentative="0">
      <w:start w:val="1"/>
      <w:numFmt w:val="chineseCounting"/>
      <w:suff w:val="nothing"/>
      <w:lvlText w:val="（%4）"/>
      <w:lvlJc w:val="left"/>
      <w:pPr>
        <w:ind w:left="0" w:firstLine="402"/>
      </w:pPr>
      <w:rPr>
        <w:rFonts w:hint="eastAsia"/>
      </w:rPr>
    </w:lvl>
    <w:lvl w:ilvl="4" w:tentative="0">
      <w:start w:val="1"/>
      <w:numFmt w:val="decimal"/>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decimalEnclosedCircleChinese"/>
      <w:suff w:val="nothing"/>
      <w:lvlText w:val="%7 "/>
      <w:lvlJc w:val="left"/>
      <w:pPr>
        <w:ind w:left="0" w:firstLine="402"/>
      </w:pPr>
      <w:rPr>
        <w:rFonts w:hint="eastAsia"/>
      </w:rPr>
    </w:lvl>
    <w:lvl w:ilvl="7" w:tentative="0">
      <w:start w:val="1"/>
      <w:numFmt w:val="decimal"/>
      <w:suff w:val="nothing"/>
      <w:lvlText w:val="%8）"/>
      <w:lvlJc w:val="left"/>
      <w:pPr>
        <w:ind w:left="0" w:firstLine="402"/>
      </w:pPr>
      <w:rPr>
        <w:rFonts w:hint="eastAsia"/>
      </w:rPr>
    </w:lvl>
    <w:lvl w:ilvl="8" w:tentative="0">
      <w:start w:val="1"/>
      <w:numFmt w:val="lowerLetter"/>
      <w:suff w:val="nothing"/>
      <w:lvlText w:val="%9．"/>
      <w:lvlJc w:val="left"/>
      <w:pPr>
        <w:ind w:left="0" w:firstLine="402"/>
      </w:pPr>
      <w:rPr>
        <w:rFonts w:hint="eastAsia"/>
      </w:rPr>
    </w:lvl>
  </w:abstractNum>
  <w:abstractNum w:abstractNumId="12">
    <w:nsid w:val="2A8F537B"/>
    <w:multiLevelType w:val="multilevel"/>
    <w:tmpl w:val="2A8F537B"/>
    <w:lvl w:ilvl="0" w:tentative="0">
      <w:start w:val="1"/>
      <w:numFmt w:val="decimal"/>
      <w:suff w:val="nothing"/>
      <w:lvlText w:val="%1."/>
      <w:lvlJc w:val="left"/>
      <w:pPr>
        <w:ind w:left="0" w:firstLine="0"/>
      </w:pPr>
      <w:rPr>
        <w:i w:val="0"/>
        <w:iCs w:val="0"/>
        <w:u w:val="none"/>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39A0D9AC"/>
    <w:multiLevelType w:val="multilevel"/>
    <w:tmpl w:val="39A0D9A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4">
    <w:nsid w:val="494E8619"/>
    <w:multiLevelType w:val="singleLevel"/>
    <w:tmpl w:val="494E8619"/>
    <w:lvl w:ilvl="0" w:tentative="0">
      <w:start w:val="3"/>
      <w:numFmt w:val="decimal"/>
      <w:suff w:val="space"/>
      <w:lvlText w:val="%1."/>
      <w:lvlJc w:val="left"/>
    </w:lvl>
  </w:abstractNum>
  <w:abstractNum w:abstractNumId="15">
    <w:nsid w:val="4D4DC07F"/>
    <w:multiLevelType w:val="multilevel"/>
    <w:tmpl w:val="4D4DC07F"/>
    <w:lvl w:ilvl="0" w:tentative="0">
      <w:start w:val="1"/>
      <w:numFmt w:val="decimal"/>
      <w:lvlText w:val="%1."/>
      <w:lvlJc w:val="left"/>
      <w:pPr>
        <w:ind w:left="425" w:hanging="425"/>
      </w:pPr>
    </w:lvl>
    <w:lvl w:ilvl="1" w:tentative="0">
      <w:start w:val="1"/>
      <w:numFmt w:val="decimal"/>
      <w:suff w:val="nothing"/>
      <w:lvlText w:val="%1.%2."/>
      <w:lvlJc w:val="left"/>
      <w:pPr>
        <w:ind w:left="0" w:firstLine="0"/>
      </w:pPr>
      <w:rPr>
        <w:rFonts w:ascii="宋体" w:hAnsi="宋体" w:eastAsia="宋体" w:cs="宋体"/>
      </w:rPr>
    </w:lvl>
    <w:lvl w:ilvl="2" w:tentative="0">
      <w:start w:val="1"/>
      <w:numFmt w:val="decimal"/>
      <w:lvlText w:val="%1.%2.%3."/>
      <w:lvlJc w:val="left"/>
      <w:pPr>
        <w:ind w:left="709" w:hanging="709"/>
      </w:pPr>
    </w:lvl>
    <w:lvl w:ilvl="3" w:tentative="0">
      <w:start w:val="1"/>
      <w:numFmt w:val="decimal"/>
      <w:suff w:val="nothing"/>
      <w:lvlText w:val="%1.%2.%3.%4."/>
      <w:lvlJc w:val="left"/>
      <w:pPr>
        <w:ind w:left="0" w:firstLine="0"/>
      </w:pPr>
    </w:lvl>
    <w:lvl w:ilvl="4" w:tentative="0">
      <w:start w:val="1"/>
      <w:numFmt w:val="decimal"/>
      <w:lvlText w:val="%1.%2.%3.%4.%5."/>
      <w:lvlJc w:val="left"/>
      <w:pPr>
        <w:ind w:left="991" w:hanging="991"/>
      </w:pPr>
    </w:lvl>
    <w:lvl w:ilvl="5" w:tentative="0">
      <w:start w:val="1"/>
      <w:numFmt w:val="decimal"/>
      <w:lvlText w:val="%1.%2.%3.%4.%5.%6."/>
      <w:lvlJc w:val="left"/>
      <w:pPr>
        <w:ind w:left="1134" w:hanging="1134"/>
      </w:pPr>
    </w:lvl>
    <w:lvl w:ilvl="6" w:tentative="0">
      <w:start w:val="1"/>
      <w:numFmt w:val="decimal"/>
      <w:lvlText w:val="%1.%2.%3.%4.%5.%6.%7."/>
      <w:lvlJc w:val="left"/>
      <w:pPr>
        <w:ind w:left="1275" w:hanging="1275"/>
      </w:pPr>
    </w:lvl>
    <w:lvl w:ilvl="7" w:tentative="0">
      <w:start w:val="1"/>
      <w:numFmt w:val="decimal"/>
      <w:lvlText w:val="%1.%2.%3.%4.%5.%6.%7.%8."/>
      <w:lvlJc w:val="left"/>
      <w:pPr>
        <w:ind w:left="1418" w:hanging="1418"/>
      </w:pPr>
    </w:lvl>
    <w:lvl w:ilvl="8" w:tentative="0">
      <w:start w:val="1"/>
      <w:numFmt w:val="decimal"/>
      <w:lvlText w:val="%1.%2.%3.%4.%5.%6.%7.%8.%9."/>
      <w:lvlJc w:val="left"/>
      <w:pPr>
        <w:ind w:left="1558" w:hanging="1558"/>
      </w:pPr>
    </w:lvl>
  </w:abstractNum>
  <w:abstractNum w:abstractNumId="16">
    <w:nsid w:val="5A241D34"/>
    <w:multiLevelType w:val="multilevel"/>
    <w:tmpl w:val="5A241D34"/>
    <w:lvl w:ilvl="0" w:tentative="0">
      <w:start w:val="1"/>
      <w:numFmt w:val="chineseCounting"/>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ascii="宋体" w:hAnsi="宋体" w:eastAsia="宋体" w:cs="宋体"/>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72183CF9"/>
    <w:multiLevelType w:val="multilevel"/>
    <w:tmpl w:val="72183CF9"/>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num>
  <w:num w:numId="3">
    <w:abstractNumId w:val="17"/>
  </w:num>
  <w:num w:numId="4">
    <w:abstractNumId w:val="1"/>
  </w:num>
  <w:num w:numId="5">
    <w:abstractNumId w:val="12"/>
  </w:num>
  <w:num w:numId="6">
    <w:abstractNumId w:val="16"/>
  </w:num>
  <w:num w:numId="7">
    <w:abstractNumId w:val="5"/>
  </w:num>
  <w:num w:numId="8">
    <w:abstractNumId w:val="15"/>
  </w:num>
  <w:num w:numId="9">
    <w:abstractNumId w:val="8"/>
  </w:num>
  <w:num w:numId="10">
    <w:abstractNumId w:val="7"/>
  </w:num>
  <w:num w:numId="11">
    <w:abstractNumId w:val="6"/>
  </w:num>
  <w:num w:numId="12">
    <w:abstractNumId w:val="10"/>
  </w:num>
  <w:num w:numId="13">
    <w:abstractNumId w:val="14"/>
  </w:num>
  <w:num w:numId="14">
    <w:abstractNumId w:val="4"/>
  </w:num>
  <w:num w:numId="15">
    <w:abstractNumId w:val="2"/>
  </w:num>
  <w:num w:numId="16">
    <w:abstractNumId w:val="13"/>
  </w:num>
  <w:num w:numId="17">
    <w:abstractNumId w:val="0"/>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noPunctuationKerning w:val="1"/>
  <w:characterSpacingControl w:val="doNotCompress"/>
  <w:footnotePr>
    <w:numFmt w:val="decimalEnclosedCircleChinese"/>
    <w:footnote w:id="0"/>
    <w:footnote w:id="1"/>
  </w:footnotePr>
  <w:endnotePr>
    <w:endnote w:id="0"/>
    <w:endnote w:id="1"/>
  </w:endnotePr>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mOTExN2M4ZjZkMWRlMzNiMzlhNGI5MDhhM2Y5N2YifQ=="/>
    <w:docVar w:name="KSO_WPS_MARK_KEY" w:val="ef73beee-1e35-488d-8d9e-81210c9d213a"/>
  </w:docVars>
  <w:rsids>
    <w:rsidRoot w:val="001C450A"/>
    <w:rsid w:val="00020968"/>
    <w:rsid w:val="00094E8F"/>
    <w:rsid w:val="000E3FC3"/>
    <w:rsid w:val="00103402"/>
    <w:rsid w:val="00116ECC"/>
    <w:rsid w:val="001C450A"/>
    <w:rsid w:val="002A7733"/>
    <w:rsid w:val="002F70BA"/>
    <w:rsid w:val="00304E4F"/>
    <w:rsid w:val="0033169A"/>
    <w:rsid w:val="005378F5"/>
    <w:rsid w:val="00613405"/>
    <w:rsid w:val="006A3362"/>
    <w:rsid w:val="006D78AE"/>
    <w:rsid w:val="006F14AB"/>
    <w:rsid w:val="00721BD4"/>
    <w:rsid w:val="00786BEA"/>
    <w:rsid w:val="008D1C52"/>
    <w:rsid w:val="00960592"/>
    <w:rsid w:val="009B37BD"/>
    <w:rsid w:val="00A27C18"/>
    <w:rsid w:val="00A83562"/>
    <w:rsid w:val="00AE7F37"/>
    <w:rsid w:val="00B257E1"/>
    <w:rsid w:val="00C110AB"/>
    <w:rsid w:val="00C424DC"/>
    <w:rsid w:val="00CB110E"/>
    <w:rsid w:val="00D53FFB"/>
    <w:rsid w:val="00DD7EF5"/>
    <w:rsid w:val="00E21B8B"/>
    <w:rsid w:val="00E37CB7"/>
    <w:rsid w:val="00E412CF"/>
    <w:rsid w:val="00EB14D0"/>
    <w:rsid w:val="00F72153"/>
    <w:rsid w:val="00FC7A4C"/>
    <w:rsid w:val="01AC0E44"/>
    <w:rsid w:val="02CE17E8"/>
    <w:rsid w:val="02DE0554"/>
    <w:rsid w:val="035A20BD"/>
    <w:rsid w:val="03F37758"/>
    <w:rsid w:val="04D806FC"/>
    <w:rsid w:val="05034309"/>
    <w:rsid w:val="054364BD"/>
    <w:rsid w:val="06720188"/>
    <w:rsid w:val="06AF2BF2"/>
    <w:rsid w:val="076F7859"/>
    <w:rsid w:val="07D478A0"/>
    <w:rsid w:val="08495618"/>
    <w:rsid w:val="08BF40AC"/>
    <w:rsid w:val="09C86EAF"/>
    <w:rsid w:val="0A2C7661"/>
    <w:rsid w:val="0A5C592B"/>
    <w:rsid w:val="0A955B5E"/>
    <w:rsid w:val="0CA84E57"/>
    <w:rsid w:val="0D57010D"/>
    <w:rsid w:val="0FA22032"/>
    <w:rsid w:val="10C0230C"/>
    <w:rsid w:val="10C61D50"/>
    <w:rsid w:val="11543C16"/>
    <w:rsid w:val="117B6FDE"/>
    <w:rsid w:val="12810624"/>
    <w:rsid w:val="13AF4D1D"/>
    <w:rsid w:val="145C6C53"/>
    <w:rsid w:val="14881B66"/>
    <w:rsid w:val="152F3C74"/>
    <w:rsid w:val="1548486C"/>
    <w:rsid w:val="15A46B04"/>
    <w:rsid w:val="15AF7772"/>
    <w:rsid w:val="15D942D4"/>
    <w:rsid w:val="15F15D26"/>
    <w:rsid w:val="162404BA"/>
    <w:rsid w:val="165819BF"/>
    <w:rsid w:val="16A86180"/>
    <w:rsid w:val="17394121"/>
    <w:rsid w:val="18C21B84"/>
    <w:rsid w:val="19046A26"/>
    <w:rsid w:val="1A4E703E"/>
    <w:rsid w:val="1B6B2D58"/>
    <w:rsid w:val="1C8925AF"/>
    <w:rsid w:val="1E377BDA"/>
    <w:rsid w:val="1F010B23"/>
    <w:rsid w:val="1F227AFA"/>
    <w:rsid w:val="1F4B1294"/>
    <w:rsid w:val="1F55673B"/>
    <w:rsid w:val="20014B53"/>
    <w:rsid w:val="20670E5A"/>
    <w:rsid w:val="21093CBF"/>
    <w:rsid w:val="21397424"/>
    <w:rsid w:val="2201708C"/>
    <w:rsid w:val="22925F36"/>
    <w:rsid w:val="23F549CE"/>
    <w:rsid w:val="250D2C18"/>
    <w:rsid w:val="255F47F5"/>
    <w:rsid w:val="259F6208"/>
    <w:rsid w:val="25E1520A"/>
    <w:rsid w:val="268838D8"/>
    <w:rsid w:val="26E46B8F"/>
    <w:rsid w:val="28FB65E3"/>
    <w:rsid w:val="296676E0"/>
    <w:rsid w:val="2ACB46DB"/>
    <w:rsid w:val="2BC7440C"/>
    <w:rsid w:val="2C3D3214"/>
    <w:rsid w:val="2C5A7AC4"/>
    <w:rsid w:val="2CB43F5E"/>
    <w:rsid w:val="2D0668E8"/>
    <w:rsid w:val="2D5400A8"/>
    <w:rsid w:val="2DD83354"/>
    <w:rsid w:val="2E11328E"/>
    <w:rsid w:val="2FD541A2"/>
    <w:rsid w:val="309662C6"/>
    <w:rsid w:val="31EA5447"/>
    <w:rsid w:val="336A2CE3"/>
    <w:rsid w:val="343E1A7A"/>
    <w:rsid w:val="345A4AE9"/>
    <w:rsid w:val="349A55E6"/>
    <w:rsid w:val="355E3B20"/>
    <w:rsid w:val="359720FA"/>
    <w:rsid w:val="36730100"/>
    <w:rsid w:val="37976071"/>
    <w:rsid w:val="37C87DD6"/>
    <w:rsid w:val="389B56ED"/>
    <w:rsid w:val="39777F08"/>
    <w:rsid w:val="3A5A4E08"/>
    <w:rsid w:val="3C2A5610"/>
    <w:rsid w:val="3CCD49D8"/>
    <w:rsid w:val="3D931088"/>
    <w:rsid w:val="3EE1459D"/>
    <w:rsid w:val="3F52287D"/>
    <w:rsid w:val="3FE326DE"/>
    <w:rsid w:val="40A11D0E"/>
    <w:rsid w:val="41087697"/>
    <w:rsid w:val="428318A9"/>
    <w:rsid w:val="43A65F94"/>
    <w:rsid w:val="44202F4A"/>
    <w:rsid w:val="442C7B41"/>
    <w:rsid w:val="4509686B"/>
    <w:rsid w:val="45C85647"/>
    <w:rsid w:val="4667576D"/>
    <w:rsid w:val="46883B58"/>
    <w:rsid w:val="471072A6"/>
    <w:rsid w:val="473A4323"/>
    <w:rsid w:val="488D1622"/>
    <w:rsid w:val="48AE3266"/>
    <w:rsid w:val="4A616F89"/>
    <w:rsid w:val="4B3C4B0D"/>
    <w:rsid w:val="4BAD2515"/>
    <w:rsid w:val="4BED4059"/>
    <w:rsid w:val="4C3A7971"/>
    <w:rsid w:val="4C5E4523"/>
    <w:rsid w:val="4CA0731E"/>
    <w:rsid w:val="4CEF2FC3"/>
    <w:rsid w:val="4E5403C0"/>
    <w:rsid w:val="4F31425D"/>
    <w:rsid w:val="4F3453E8"/>
    <w:rsid w:val="51BC4853"/>
    <w:rsid w:val="51CD4943"/>
    <w:rsid w:val="52DA2A10"/>
    <w:rsid w:val="53B81895"/>
    <w:rsid w:val="55A91305"/>
    <w:rsid w:val="55A94B4D"/>
    <w:rsid w:val="55FB18FB"/>
    <w:rsid w:val="561376FD"/>
    <w:rsid w:val="578A5DE4"/>
    <w:rsid w:val="591F1B01"/>
    <w:rsid w:val="597D6D2C"/>
    <w:rsid w:val="59814F23"/>
    <w:rsid w:val="5A0E3101"/>
    <w:rsid w:val="5A113609"/>
    <w:rsid w:val="5A251C90"/>
    <w:rsid w:val="5A4E2167"/>
    <w:rsid w:val="5B8B1604"/>
    <w:rsid w:val="5C9A1694"/>
    <w:rsid w:val="5DA10D84"/>
    <w:rsid w:val="5DA7446F"/>
    <w:rsid w:val="5DFB15F8"/>
    <w:rsid w:val="5E4D5C92"/>
    <w:rsid w:val="5E575223"/>
    <w:rsid w:val="608435AF"/>
    <w:rsid w:val="60E81634"/>
    <w:rsid w:val="60FB46CB"/>
    <w:rsid w:val="612626A4"/>
    <w:rsid w:val="614C26D5"/>
    <w:rsid w:val="6310019E"/>
    <w:rsid w:val="636263E4"/>
    <w:rsid w:val="641D2D23"/>
    <w:rsid w:val="64473E5D"/>
    <w:rsid w:val="67073DC9"/>
    <w:rsid w:val="68471AEC"/>
    <w:rsid w:val="684778C1"/>
    <w:rsid w:val="69486509"/>
    <w:rsid w:val="6A8870E4"/>
    <w:rsid w:val="6B224D1F"/>
    <w:rsid w:val="6B712159"/>
    <w:rsid w:val="6CBD3EF0"/>
    <w:rsid w:val="6D5E4506"/>
    <w:rsid w:val="702B69E4"/>
    <w:rsid w:val="70B112B5"/>
    <w:rsid w:val="71995F66"/>
    <w:rsid w:val="71E30AD8"/>
    <w:rsid w:val="723524C0"/>
    <w:rsid w:val="72E80BE4"/>
    <w:rsid w:val="73B9469D"/>
    <w:rsid w:val="740A6CA7"/>
    <w:rsid w:val="74ED5B49"/>
    <w:rsid w:val="78BD078C"/>
    <w:rsid w:val="79905BAC"/>
    <w:rsid w:val="7A266805"/>
    <w:rsid w:val="7A8D23E0"/>
    <w:rsid w:val="7AA65250"/>
    <w:rsid w:val="7B4744B7"/>
    <w:rsid w:val="7B9A32DE"/>
    <w:rsid w:val="7C360DF4"/>
    <w:rsid w:val="7CF174DD"/>
    <w:rsid w:val="7D9F66B2"/>
    <w:rsid w:val="7F11236C"/>
    <w:rsid w:val="7F4F1B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ind w:firstLine="200"/>
      <w:jc w:val="both"/>
    </w:pPr>
    <w:rPr>
      <w:rFonts w:ascii="Times New Roman" w:hAnsi="Times New Roman" w:eastAsia="宋体" w:cs="Times New Roman"/>
      <w:sz w:val="21"/>
      <w:szCs w:val="24"/>
      <w:lang w:val="en-US" w:eastAsia="zh-CN" w:bidi="ar-SA"/>
    </w:rPr>
  </w:style>
  <w:style w:type="paragraph" w:styleId="3">
    <w:name w:val="heading 1"/>
    <w:basedOn w:val="1"/>
    <w:next w:val="1"/>
    <w:link w:val="5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60"/>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6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4"/>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next w:val="1"/>
    <w:qFormat/>
    <w:uiPriority w:val="0"/>
    <w:pPr>
      <w:spacing w:line="360" w:lineRule="auto"/>
      <w:ind w:firstLine="480"/>
      <w:jc w:val="left"/>
    </w:pPr>
    <w:rPr>
      <w:rFonts w:ascii="宋体" w:hAnsi="宋体"/>
      <w:sz w:val="24"/>
    </w:rPr>
  </w:style>
  <w:style w:type="paragraph" w:styleId="12">
    <w:name w:val="toc 7"/>
    <w:basedOn w:val="1"/>
    <w:next w:val="1"/>
    <w:unhideWhenUsed/>
    <w:qFormat/>
    <w:uiPriority w:val="39"/>
    <w:pPr>
      <w:spacing w:after="57"/>
      <w:ind w:left="1701"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unhideWhenUsed/>
    <w:qFormat/>
    <w:uiPriority w:val="99"/>
    <w:pPr>
      <w:jc w:val="left"/>
    </w:pPr>
  </w:style>
  <w:style w:type="paragraph" w:styleId="15">
    <w:name w:val="Body Text 3"/>
    <w:basedOn w:val="1"/>
    <w:qFormat/>
    <w:uiPriority w:val="0"/>
    <w:pPr>
      <w:spacing w:line="360" w:lineRule="auto"/>
    </w:pPr>
    <w:rPr>
      <w:rFonts w:ascii="Calibri"/>
      <w:sz w:val="24"/>
      <w:szCs w:val="20"/>
    </w:rPr>
  </w:style>
  <w:style w:type="paragraph" w:styleId="16">
    <w:name w:val="Body Text"/>
    <w:basedOn w:val="1"/>
    <w:next w:val="17"/>
    <w:qFormat/>
    <w:uiPriority w:val="1"/>
    <w:rPr>
      <w:sz w:val="32"/>
      <w:szCs w:val="32"/>
    </w:rPr>
  </w:style>
  <w:style w:type="paragraph" w:styleId="17">
    <w:name w:val="Body Text First Indent"/>
    <w:next w:val="1"/>
    <w:qFormat/>
    <w:uiPriority w:val="0"/>
    <w:pPr>
      <w:widowControl w:val="0"/>
      <w:spacing w:line="360" w:lineRule="auto"/>
      <w:ind w:firstLine="420"/>
      <w:jc w:val="both"/>
    </w:pPr>
    <w:rPr>
      <w:rFonts w:ascii="宋体" w:hAnsi="宋体" w:eastAsia="仿宋_GB2312" w:cs="Times New Roman"/>
      <w:kern w:val="2"/>
      <w:sz w:val="24"/>
      <w:lang w:val="en-US" w:eastAsia="zh-CN" w:bidi="ar-SA"/>
    </w:rPr>
  </w:style>
  <w:style w:type="paragraph" w:styleId="18">
    <w:name w:val="Body Text Indent"/>
    <w:basedOn w:val="1"/>
    <w:next w:val="19"/>
    <w:qFormat/>
    <w:uiPriority w:val="0"/>
    <w:pPr>
      <w:ind w:firstLine="645"/>
    </w:pPr>
    <w:rPr>
      <w:rFonts w:ascii="楷体_GB2312" w:hAnsi="宋体" w:eastAsia="楷体_GB2312" w:cs="宋体"/>
      <w:sz w:val="32"/>
      <w:szCs w:val="32"/>
    </w:rPr>
  </w:style>
  <w:style w:type="paragraph" w:styleId="19">
    <w:name w:val="envelope return"/>
    <w:basedOn w:val="1"/>
    <w:qFormat/>
    <w:uiPriority w:val="99"/>
    <w:rPr>
      <w:rFonts w:ascii="Arial" w:hAnsi="Arial"/>
    </w:rPr>
  </w:style>
  <w:style w:type="paragraph" w:styleId="20">
    <w:name w:val="toc 5"/>
    <w:basedOn w:val="1"/>
    <w:next w:val="1"/>
    <w:unhideWhenUsed/>
    <w:qFormat/>
    <w:uiPriority w:val="39"/>
    <w:pPr>
      <w:spacing w:after="57"/>
      <w:ind w:left="1134" w:firstLine="0"/>
    </w:pPr>
  </w:style>
  <w:style w:type="paragraph" w:styleId="21">
    <w:name w:val="toc 3"/>
    <w:basedOn w:val="1"/>
    <w:next w:val="1"/>
    <w:unhideWhenUsed/>
    <w:qFormat/>
    <w:uiPriority w:val="39"/>
    <w:pPr>
      <w:spacing w:after="57"/>
      <w:ind w:left="567" w:firstLine="0"/>
    </w:pPr>
  </w:style>
  <w:style w:type="paragraph" w:styleId="22">
    <w:name w:val="toc 8"/>
    <w:basedOn w:val="1"/>
    <w:next w:val="1"/>
    <w:unhideWhenUsed/>
    <w:qFormat/>
    <w:uiPriority w:val="39"/>
    <w:pPr>
      <w:spacing w:after="57"/>
      <w:ind w:left="1984" w:firstLine="0"/>
    </w:pPr>
  </w:style>
  <w:style w:type="paragraph" w:styleId="23">
    <w:name w:val="endnote text"/>
    <w:basedOn w:val="1"/>
    <w:link w:val="200"/>
    <w:semiHidden/>
    <w:unhideWhenUsed/>
    <w:qFormat/>
    <w:uiPriority w:val="99"/>
    <w:pPr>
      <w:spacing w:line="240" w:lineRule="auto"/>
    </w:pPr>
    <w:rPr>
      <w:sz w:val="20"/>
    </w:rPr>
  </w:style>
  <w:style w:type="paragraph" w:styleId="24">
    <w:name w:val="footer"/>
    <w:basedOn w:val="1"/>
    <w:link w:val="73"/>
    <w:unhideWhenUsed/>
    <w:qFormat/>
    <w:uiPriority w:val="99"/>
    <w:pPr>
      <w:tabs>
        <w:tab w:val="center" w:pos="7143"/>
        <w:tab w:val="right" w:pos="14287"/>
      </w:tabs>
      <w:spacing w:line="240" w:lineRule="auto"/>
    </w:pPr>
  </w:style>
  <w:style w:type="paragraph" w:styleId="25">
    <w:name w:val="header"/>
    <w:basedOn w:val="1"/>
    <w:link w:val="71"/>
    <w:unhideWhenUsed/>
    <w:qFormat/>
    <w:uiPriority w:val="99"/>
    <w:pPr>
      <w:tabs>
        <w:tab w:val="center" w:pos="7143"/>
        <w:tab w:val="right" w:pos="14287"/>
      </w:tabs>
      <w:spacing w:line="240" w:lineRule="auto"/>
    </w:pPr>
  </w:style>
  <w:style w:type="paragraph" w:styleId="26">
    <w:name w:val="toc 1"/>
    <w:basedOn w:val="1"/>
    <w:next w:val="1"/>
    <w:unhideWhenUsed/>
    <w:qFormat/>
    <w:uiPriority w:val="39"/>
    <w:pPr>
      <w:spacing w:after="57"/>
      <w:ind w:firstLine="0"/>
    </w:pPr>
  </w:style>
  <w:style w:type="paragraph" w:styleId="27">
    <w:name w:val="toc 4"/>
    <w:basedOn w:val="1"/>
    <w:next w:val="1"/>
    <w:unhideWhenUsed/>
    <w:qFormat/>
    <w:uiPriority w:val="39"/>
    <w:pPr>
      <w:spacing w:after="57"/>
      <w:ind w:left="850" w:firstLine="0"/>
    </w:pPr>
  </w:style>
  <w:style w:type="paragraph" w:styleId="28">
    <w:name w:val="Subtitle"/>
    <w:basedOn w:val="1"/>
    <w:next w:val="1"/>
    <w:link w:val="66"/>
    <w:qFormat/>
    <w:uiPriority w:val="11"/>
    <w:pPr>
      <w:spacing w:before="200" w:after="200"/>
    </w:pPr>
    <w:rPr>
      <w:sz w:val="24"/>
    </w:rPr>
  </w:style>
  <w:style w:type="paragraph" w:styleId="29">
    <w:name w:val="footnote text"/>
    <w:basedOn w:val="1"/>
    <w:link w:val="199"/>
    <w:semiHidden/>
    <w:unhideWhenUsed/>
    <w:qFormat/>
    <w:uiPriority w:val="99"/>
    <w:pPr>
      <w:spacing w:after="40" w:line="240" w:lineRule="auto"/>
    </w:pPr>
    <w:rPr>
      <w:sz w:val="18"/>
    </w:rPr>
  </w:style>
  <w:style w:type="paragraph" w:styleId="30">
    <w:name w:val="toc 6"/>
    <w:basedOn w:val="1"/>
    <w:next w:val="1"/>
    <w:unhideWhenUsed/>
    <w:qFormat/>
    <w:uiPriority w:val="39"/>
    <w:pPr>
      <w:spacing w:after="57"/>
      <w:ind w:left="1417" w:firstLine="0"/>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firstLine="0"/>
    </w:pPr>
  </w:style>
  <w:style w:type="paragraph" w:styleId="33">
    <w:name w:val="toc 9"/>
    <w:basedOn w:val="1"/>
    <w:next w:val="1"/>
    <w:unhideWhenUsed/>
    <w:qFormat/>
    <w:uiPriority w:val="39"/>
    <w:pPr>
      <w:spacing w:after="57"/>
      <w:ind w:left="2268" w:firstLine="0"/>
    </w:pPr>
  </w:style>
  <w:style w:type="paragraph" w:styleId="34">
    <w:name w:val="Normal (Web)"/>
    <w:basedOn w:val="1"/>
    <w:semiHidden/>
    <w:unhideWhenUsed/>
    <w:qFormat/>
    <w:uiPriority w:val="99"/>
    <w:pPr>
      <w:spacing w:beforeAutospacing="1" w:afterAutospacing="1"/>
      <w:jc w:val="left"/>
    </w:pPr>
    <w:rPr>
      <w:sz w:val="24"/>
    </w:rPr>
  </w:style>
  <w:style w:type="paragraph" w:styleId="35">
    <w:name w:val="Title"/>
    <w:basedOn w:val="1"/>
    <w:next w:val="1"/>
    <w:link w:val="65"/>
    <w:qFormat/>
    <w:uiPriority w:val="10"/>
    <w:pPr>
      <w:spacing w:before="300" w:after="200"/>
      <w:contextualSpacing/>
    </w:pPr>
    <w:rPr>
      <w:sz w:val="48"/>
      <w:szCs w:val="48"/>
    </w:rPr>
  </w:style>
  <w:style w:type="paragraph" w:styleId="36">
    <w:name w:val="Body Text First Indent 2"/>
    <w:basedOn w:val="18"/>
    <w:qFormat/>
    <w:uiPriority w:val="0"/>
    <w:pPr>
      <w:spacing w:line="360" w:lineRule="auto"/>
      <w:ind w:firstLine="200"/>
    </w:pPr>
    <w:rPr>
      <w:rFonts w:ascii="宋体" w:eastAsia="宋体"/>
      <w:sz w:val="21"/>
      <w:szCs w:val="20"/>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page number"/>
    <w:qFormat/>
    <w:uiPriority w:val="0"/>
  </w:style>
  <w:style w:type="character" w:styleId="42">
    <w:name w:val="FollowedHyperlink"/>
    <w:basedOn w:val="39"/>
    <w:semiHidden/>
    <w:unhideWhenUsed/>
    <w:qFormat/>
    <w:uiPriority w:val="99"/>
    <w:rPr>
      <w:color w:val="7E1FAD"/>
      <w:u w:val="single"/>
    </w:rPr>
  </w:style>
  <w:style w:type="character" w:styleId="43">
    <w:name w:val="Emphasis"/>
    <w:basedOn w:val="39"/>
    <w:qFormat/>
    <w:uiPriority w:val="20"/>
    <w:rPr>
      <w:i/>
    </w:rPr>
  </w:style>
  <w:style w:type="character" w:styleId="44">
    <w:name w:val="Hyperlink"/>
    <w:unhideWhenUsed/>
    <w:qFormat/>
    <w:uiPriority w:val="99"/>
    <w:rPr>
      <w:color w:val="0000FF" w:themeColor="hyperlink"/>
      <w:u w:val="single"/>
      <w14:textFill>
        <w14:solidFill>
          <w14:schemeClr w14:val="hlink"/>
        </w14:solidFill>
      </w14:textFill>
    </w:rPr>
  </w:style>
  <w:style w:type="character" w:styleId="45">
    <w:name w:val="annotation reference"/>
    <w:basedOn w:val="39"/>
    <w:qFormat/>
    <w:uiPriority w:val="0"/>
    <w:rPr>
      <w:sz w:val="21"/>
      <w:szCs w:val="21"/>
    </w:rPr>
  </w:style>
  <w:style w:type="character" w:styleId="46">
    <w:name w:val="footnote reference"/>
    <w:unhideWhenUsed/>
    <w:qFormat/>
    <w:uiPriority w:val="99"/>
    <w:rPr>
      <w:vertAlign w:val="superscript"/>
    </w:rPr>
  </w:style>
  <w:style w:type="paragraph" w:customStyle="1" w:styleId="47">
    <w:name w:val="纯文本1"/>
    <w:basedOn w:val="1"/>
    <w:qFormat/>
    <w:uiPriority w:val="99"/>
    <w:rPr>
      <w:rFonts w:ascii="宋体" w:hAnsi="宋体"/>
      <w:szCs w:val="21"/>
    </w:rPr>
  </w:style>
  <w:style w:type="paragraph" w:customStyle="1" w:styleId="48">
    <w:name w:val="正文1"/>
    <w:basedOn w:val="1"/>
    <w:next w:val="1"/>
    <w:qFormat/>
    <w:uiPriority w:val="0"/>
    <w:pPr>
      <w:widowControl/>
      <w:spacing w:line="300" w:lineRule="auto"/>
      <w:ind w:left="420"/>
    </w:pPr>
    <w:rPr>
      <w:szCs w:val="20"/>
    </w:rPr>
  </w:style>
  <w:style w:type="paragraph" w:customStyle="1" w:styleId="49">
    <w:name w:val="正文文本缩进1"/>
    <w:basedOn w:val="1"/>
    <w:next w:val="50"/>
    <w:qFormat/>
    <w:uiPriority w:val="0"/>
    <w:pPr>
      <w:ind w:firstLine="645"/>
    </w:pPr>
    <w:rPr>
      <w:rFonts w:ascii="楷体_GB2312" w:hAnsi="宋体" w:eastAsia="楷体_GB2312"/>
      <w:sz w:val="32"/>
      <w:szCs w:val="32"/>
    </w:rPr>
  </w:style>
  <w:style w:type="paragraph" w:customStyle="1" w:styleId="50">
    <w:name w:val="寄信人地址1"/>
    <w:basedOn w:val="1"/>
    <w:qFormat/>
    <w:uiPriority w:val="99"/>
    <w:rPr>
      <w:rFonts w:ascii="Arial" w:hAnsi="Arial"/>
    </w:rPr>
  </w:style>
  <w:style w:type="paragraph" w:customStyle="1" w:styleId="51">
    <w:name w:val="正文文本1"/>
    <w:basedOn w:val="1"/>
    <w:next w:val="52"/>
    <w:qFormat/>
    <w:uiPriority w:val="0"/>
    <w:pPr>
      <w:spacing w:after="120"/>
    </w:pPr>
  </w:style>
  <w:style w:type="paragraph" w:customStyle="1" w:styleId="52">
    <w:name w:val="一级条标题"/>
    <w:basedOn w:val="53"/>
    <w:next w:val="5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53">
    <w:name w:val="章标题"/>
    <w:next w:val="54"/>
    <w:qFormat/>
    <w:uiPriority w:val="0"/>
    <w:pPr>
      <w:tabs>
        <w:tab w:val="left" w:pos="810"/>
        <w:tab w:val="left" w:pos="1265"/>
      </w:tabs>
      <w:spacing w:before="50" w:after="50"/>
      <w:ind w:left="810" w:hanging="810"/>
      <w:jc w:val="both"/>
      <w:outlineLvl w:val="1"/>
    </w:pPr>
    <w:rPr>
      <w:rFonts w:ascii="黑体" w:hAnsi="Calibri" w:eastAsia="黑体" w:cs="Times New Roman"/>
      <w:sz w:val="21"/>
      <w:szCs w:val="22"/>
      <w:lang w:val="en-US" w:eastAsia="zh-CN" w:bidi="ar-SA"/>
    </w:rPr>
  </w:style>
  <w:style w:type="paragraph" w:customStyle="1" w:styleId="54">
    <w:name w:val="正文11"/>
    <w:next w:val="48"/>
    <w:qFormat/>
    <w:uiPriority w:val="0"/>
    <w:pPr>
      <w:widowControl w:val="0"/>
      <w:jc w:val="both"/>
    </w:pPr>
    <w:rPr>
      <w:rFonts w:ascii="Calibri" w:hAnsi="Calibri" w:eastAsia="宋体" w:cs="Times New Roman"/>
      <w:sz w:val="21"/>
      <w:szCs w:val="22"/>
      <w:lang w:val="en-US" w:eastAsia="zh-CN" w:bidi="ar-SA"/>
    </w:rPr>
  </w:style>
  <w:style w:type="paragraph" w:customStyle="1" w:styleId="55">
    <w:name w:val="段"/>
    <w:next w:val="54"/>
    <w:qFormat/>
    <w:uiPriority w:val="0"/>
    <w:pPr>
      <w:ind w:firstLine="200"/>
      <w:jc w:val="both"/>
    </w:pPr>
    <w:rPr>
      <w:rFonts w:ascii="宋体" w:hAnsi="Times New Roman" w:eastAsia="宋体" w:cs="Times New Roman"/>
      <w:sz w:val="21"/>
      <w:szCs w:val="22"/>
      <w:lang w:val="en-US" w:eastAsia="zh-CN" w:bidi="ar-SA"/>
    </w:rPr>
  </w:style>
  <w:style w:type="character" w:customStyle="1" w:styleId="56">
    <w:name w:val="Heading 1 Char"/>
    <w:link w:val="3"/>
    <w:qFormat/>
    <w:uiPriority w:val="9"/>
    <w:rPr>
      <w:rFonts w:ascii="Arial" w:hAnsi="Arial" w:eastAsia="Arial" w:cs="Arial"/>
      <w:sz w:val="40"/>
      <w:szCs w:val="40"/>
    </w:rPr>
  </w:style>
  <w:style w:type="character" w:customStyle="1" w:styleId="57">
    <w:name w:val="Heading 2 Char"/>
    <w:link w:val="4"/>
    <w:qFormat/>
    <w:uiPriority w:val="9"/>
    <w:rPr>
      <w:rFonts w:ascii="Arial" w:hAnsi="Arial" w:eastAsia="Arial" w:cs="Arial"/>
      <w:sz w:val="34"/>
    </w:rPr>
  </w:style>
  <w:style w:type="character" w:customStyle="1" w:styleId="58">
    <w:name w:val="Heading 3 Char"/>
    <w:link w:val="5"/>
    <w:qFormat/>
    <w:uiPriority w:val="9"/>
    <w:rPr>
      <w:rFonts w:ascii="Arial" w:hAnsi="Arial" w:eastAsia="Arial" w:cs="Arial"/>
      <w:sz w:val="30"/>
      <w:szCs w:val="30"/>
    </w:rPr>
  </w:style>
  <w:style w:type="character" w:customStyle="1" w:styleId="59">
    <w:name w:val="Heading 4 Char"/>
    <w:link w:val="6"/>
    <w:qFormat/>
    <w:uiPriority w:val="9"/>
    <w:rPr>
      <w:rFonts w:ascii="Arial" w:hAnsi="Arial" w:eastAsia="Arial" w:cs="Arial"/>
      <w:b/>
      <w:bCs/>
      <w:sz w:val="26"/>
      <w:szCs w:val="26"/>
    </w:rPr>
  </w:style>
  <w:style w:type="character" w:customStyle="1" w:styleId="60">
    <w:name w:val="Heading 5 Char"/>
    <w:link w:val="7"/>
    <w:qFormat/>
    <w:uiPriority w:val="9"/>
    <w:rPr>
      <w:rFonts w:ascii="Arial" w:hAnsi="Arial" w:eastAsia="Arial" w:cs="Arial"/>
      <w:b/>
      <w:bCs/>
      <w:sz w:val="24"/>
      <w:szCs w:val="24"/>
    </w:rPr>
  </w:style>
  <w:style w:type="character" w:customStyle="1" w:styleId="61">
    <w:name w:val="Heading 6 Char"/>
    <w:link w:val="8"/>
    <w:qFormat/>
    <w:uiPriority w:val="9"/>
    <w:rPr>
      <w:rFonts w:ascii="Arial" w:hAnsi="Arial" w:eastAsia="Arial" w:cs="Arial"/>
      <w:b/>
      <w:bCs/>
      <w:sz w:val="22"/>
      <w:szCs w:val="22"/>
    </w:rPr>
  </w:style>
  <w:style w:type="character" w:customStyle="1" w:styleId="62">
    <w:name w:val="Heading 7 Char"/>
    <w:link w:val="9"/>
    <w:qFormat/>
    <w:uiPriority w:val="9"/>
    <w:rPr>
      <w:rFonts w:ascii="Arial" w:hAnsi="Arial" w:eastAsia="Arial" w:cs="Arial"/>
      <w:b/>
      <w:bCs/>
      <w:i/>
      <w:iCs/>
      <w:sz w:val="22"/>
      <w:szCs w:val="22"/>
    </w:rPr>
  </w:style>
  <w:style w:type="character" w:customStyle="1" w:styleId="63">
    <w:name w:val="Heading 8 Char"/>
    <w:link w:val="10"/>
    <w:qFormat/>
    <w:uiPriority w:val="9"/>
    <w:rPr>
      <w:rFonts w:ascii="Arial" w:hAnsi="Arial" w:eastAsia="Arial" w:cs="Arial"/>
      <w:i/>
      <w:iCs/>
      <w:sz w:val="22"/>
      <w:szCs w:val="22"/>
    </w:rPr>
  </w:style>
  <w:style w:type="character" w:customStyle="1" w:styleId="64">
    <w:name w:val="Heading 9 Char"/>
    <w:link w:val="11"/>
    <w:qFormat/>
    <w:uiPriority w:val="9"/>
    <w:rPr>
      <w:rFonts w:ascii="Arial" w:hAnsi="Arial" w:eastAsia="Arial" w:cs="Arial"/>
      <w:i/>
      <w:iCs/>
      <w:sz w:val="21"/>
      <w:szCs w:val="21"/>
    </w:rPr>
  </w:style>
  <w:style w:type="character" w:customStyle="1" w:styleId="65">
    <w:name w:val="Title Char"/>
    <w:link w:val="35"/>
    <w:qFormat/>
    <w:uiPriority w:val="10"/>
    <w:rPr>
      <w:sz w:val="48"/>
      <w:szCs w:val="48"/>
    </w:rPr>
  </w:style>
  <w:style w:type="character" w:customStyle="1" w:styleId="66">
    <w:name w:val="Subtitle Char"/>
    <w:link w:val="28"/>
    <w:qFormat/>
    <w:uiPriority w:val="11"/>
    <w:rPr>
      <w:sz w:val="24"/>
      <w:szCs w:val="24"/>
    </w:rPr>
  </w:style>
  <w:style w:type="paragraph" w:styleId="67">
    <w:name w:val="Quote"/>
    <w:basedOn w:val="1"/>
    <w:next w:val="1"/>
    <w:link w:val="68"/>
    <w:qFormat/>
    <w:uiPriority w:val="29"/>
    <w:pPr>
      <w:ind w:left="720" w:right="720"/>
    </w:pPr>
    <w:rPr>
      <w:i/>
    </w:rPr>
  </w:style>
  <w:style w:type="character" w:customStyle="1" w:styleId="68">
    <w:name w:val="Quote Char"/>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0">
    <w:name w:val="Intense Quote Char"/>
    <w:link w:val="69"/>
    <w:qFormat/>
    <w:uiPriority w:val="30"/>
    <w:rPr>
      <w:i/>
    </w:rPr>
  </w:style>
  <w:style w:type="character" w:customStyle="1" w:styleId="71">
    <w:name w:val="Header Char"/>
    <w:link w:val="25"/>
    <w:qFormat/>
    <w:uiPriority w:val="99"/>
  </w:style>
  <w:style w:type="character" w:customStyle="1" w:styleId="72">
    <w:name w:val="Footer Char"/>
    <w:qFormat/>
    <w:uiPriority w:val="99"/>
  </w:style>
  <w:style w:type="character" w:customStyle="1" w:styleId="73">
    <w:name w:val="Footer Char1"/>
    <w:link w:val="24"/>
    <w:qFormat/>
    <w:uiPriority w:val="99"/>
  </w:style>
  <w:style w:type="table" w:customStyle="1" w:styleId="74">
    <w:name w:val="Table Grid Light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Plain Table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1"/>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1"/>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1"/>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1"/>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1"/>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Grid Table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2 - Accent 2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1"/>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1"/>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1"/>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1"/>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1"/>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1"/>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1"/>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1"/>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1"/>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1"/>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1"/>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1"/>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5 Dark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Grid Table 6 Colorful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1"/>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9">
    <w:name w:val="Grid Table 6 Colorful - Accent 4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1"/>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6 Colorful - Accent 61"/>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2">
    <w:name w:val="Grid Table 7 Colorful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1"/>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1"/>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7 Colorful - Accent 41"/>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1"/>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7 Colorful - Accent 61"/>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9">
    <w:name w:val="List Table 1 Light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1"/>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1"/>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1"/>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1"/>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1"/>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List Table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1"/>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1"/>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1"/>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1"/>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1"/>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1"/>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1"/>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1"/>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1"/>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1"/>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List Table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1"/>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1"/>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1"/>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1"/>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1"/>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5 Dark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1"/>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1"/>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1"/>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1"/>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1"/>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List Table 6 Colorful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6 Colorful - Accent 21"/>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1"/>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1"/>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1"/>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1"/>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st Table 7 Colorful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7 Colorful - Accent 21"/>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1"/>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1"/>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1"/>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1"/>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Footnote Text Char"/>
    <w:link w:val="29"/>
    <w:qFormat/>
    <w:uiPriority w:val="99"/>
    <w:rPr>
      <w:sz w:val="18"/>
    </w:rPr>
  </w:style>
  <w:style w:type="character" w:customStyle="1" w:styleId="200">
    <w:name w:val="Endnote Text Char"/>
    <w:link w:val="23"/>
    <w:qFormat/>
    <w:uiPriority w:val="99"/>
    <w:rPr>
      <w:sz w:val="20"/>
    </w:rPr>
  </w:style>
  <w:style w:type="paragraph" w:customStyle="1" w:styleId="201">
    <w:name w:val="TOC Heading1"/>
    <w:unhideWhenUsed/>
    <w:qFormat/>
    <w:uiPriority w:val="39"/>
    <w:rPr>
      <w:rFonts w:ascii="Times New Roman" w:hAnsi="Times New Roman" w:eastAsia="宋体" w:cs="Times New Roman"/>
      <w:lang w:val="en-US" w:eastAsia="zh-CN" w:bidi="ar-SA"/>
    </w:rPr>
  </w:style>
  <w:style w:type="paragraph" w:customStyle="1" w:styleId="202">
    <w:name w:val="标题 21"/>
    <w:basedOn w:val="1"/>
    <w:next w:val="1"/>
    <w:qFormat/>
    <w:uiPriority w:val="0"/>
    <w:pPr>
      <w:keepNext/>
      <w:keepLines/>
      <w:spacing w:before="260" w:after="260" w:line="415" w:lineRule="auto"/>
      <w:jc w:val="center"/>
      <w:outlineLvl w:val="1"/>
    </w:pPr>
    <w:rPr>
      <w:rFonts w:ascii="Arial" w:hAnsi="Arial" w:eastAsia="幼圆"/>
      <w:b/>
      <w:bCs/>
      <w:sz w:val="44"/>
      <w:szCs w:val="44"/>
    </w:rPr>
  </w:style>
  <w:style w:type="character" w:customStyle="1" w:styleId="203">
    <w:name w:val="默认段落字体1"/>
    <w:semiHidden/>
    <w:qFormat/>
    <w:uiPriority w:val="0"/>
  </w:style>
  <w:style w:type="table" w:customStyle="1" w:styleId="204">
    <w:name w:val="普通表格1"/>
    <w:semiHidden/>
    <w:qFormat/>
    <w:uiPriority w:val="0"/>
    <w:tblPr>
      <w:tblCellMar>
        <w:top w:w="0" w:type="dxa"/>
        <w:left w:w="0" w:type="dxa"/>
        <w:bottom w:w="0" w:type="dxa"/>
        <w:right w:w="0" w:type="dxa"/>
      </w:tblCellMar>
    </w:tblPr>
  </w:style>
  <w:style w:type="paragraph" w:customStyle="1" w:styleId="205">
    <w:name w:val="正文缩进1"/>
    <w:basedOn w:val="1"/>
    <w:qFormat/>
    <w:uiPriority w:val="0"/>
    <w:pPr>
      <w:ind w:firstLine="420"/>
    </w:pPr>
    <w:rPr>
      <w:szCs w:val="21"/>
    </w:rPr>
  </w:style>
  <w:style w:type="paragraph" w:customStyle="1" w:styleId="206">
    <w:name w:val="文档结构图1"/>
    <w:basedOn w:val="1"/>
    <w:qFormat/>
    <w:uiPriority w:val="0"/>
    <w:pPr>
      <w:shd w:val="clear" w:color="auto" w:fill="000080"/>
    </w:pPr>
    <w:rPr>
      <w:szCs w:val="21"/>
    </w:rPr>
  </w:style>
  <w:style w:type="paragraph" w:customStyle="1" w:styleId="207">
    <w:name w:val="日期1"/>
    <w:basedOn w:val="1"/>
    <w:next w:val="1"/>
    <w:qFormat/>
    <w:uiPriority w:val="0"/>
    <w:rPr>
      <w:sz w:val="24"/>
    </w:rPr>
  </w:style>
  <w:style w:type="paragraph" w:customStyle="1" w:styleId="208">
    <w:name w:val="页脚1"/>
    <w:basedOn w:val="1"/>
    <w:qFormat/>
    <w:uiPriority w:val="99"/>
    <w:pPr>
      <w:tabs>
        <w:tab w:val="center" w:pos="4153"/>
        <w:tab w:val="right" w:pos="8306"/>
      </w:tabs>
      <w:jc w:val="left"/>
    </w:pPr>
    <w:rPr>
      <w:sz w:val="18"/>
      <w:szCs w:val="18"/>
    </w:rPr>
  </w:style>
  <w:style w:type="paragraph" w:customStyle="1" w:styleId="209">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10">
    <w:name w:val="目录 11"/>
    <w:basedOn w:val="1"/>
    <w:next w:val="1"/>
    <w:qFormat/>
    <w:uiPriority w:val="0"/>
  </w:style>
  <w:style w:type="paragraph" w:customStyle="1" w:styleId="211">
    <w:name w:val="目录 21"/>
    <w:basedOn w:val="1"/>
    <w:next w:val="1"/>
    <w:qFormat/>
    <w:uiPriority w:val="0"/>
    <w:pPr>
      <w:ind w:left="420"/>
    </w:pPr>
  </w:style>
  <w:style w:type="paragraph" w:customStyle="1" w:styleId="212">
    <w:name w:val="普通(网站)1"/>
    <w:basedOn w:val="1"/>
    <w:qFormat/>
    <w:uiPriority w:val="0"/>
    <w:pPr>
      <w:spacing w:before="100" w:beforeAutospacing="1" w:after="100" w:afterAutospacing="1"/>
      <w:jc w:val="left"/>
    </w:pPr>
    <w:rPr>
      <w:sz w:val="24"/>
    </w:rPr>
  </w:style>
  <w:style w:type="paragraph" w:customStyle="1" w:styleId="213">
    <w:name w:val="正文首行缩进1"/>
    <w:basedOn w:val="51"/>
    <w:next w:val="1"/>
    <w:unhideWhenUsed/>
    <w:qFormat/>
    <w:uiPriority w:val="99"/>
    <w:pPr>
      <w:ind w:firstLine="420"/>
    </w:pPr>
  </w:style>
  <w:style w:type="paragraph" w:customStyle="1" w:styleId="214">
    <w:name w:val="正文首行缩进 21"/>
    <w:basedOn w:val="49"/>
    <w:qFormat/>
    <w:uiPriority w:val="0"/>
    <w:pPr>
      <w:spacing w:line="360" w:lineRule="auto"/>
      <w:ind w:firstLine="200"/>
    </w:pPr>
    <w:rPr>
      <w:rFonts w:ascii="宋体" w:eastAsia="宋体"/>
      <w:sz w:val="21"/>
      <w:szCs w:val="20"/>
    </w:rPr>
  </w:style>
  <w:style w:type="character" w:customStyle="1" w:styleId="215">
    <w:name w:val="要点1"/>
    <w:basedOn w:val="203"/>
    <w:qFormat/>
    <w:uiPriority w:val="0"/>
    <w:rPr>
      <w:b/>
      <w:bCs/>
    </w:rPr>
  </w:style>
  <w:style w:type="character" w:customStyle="1" w:styleId="216">
    <w:name w:val="页码1"/>
    <w:qFormat/>
    <w:uiPriority w:val="0"/>
  </w:style>
  <w:style w:type="character" w:customStyle="1" w:styleId="217">
    <w:name w:val="已访问的超链接1"/>
    <w:basedOn w:val="203"/>
    <w:qFormat/>
    <w:uiPriority w:val="0"/>
    <w:rPr>
      <w:color w:val="800080"/>
      <w:u w:val="none"/>
    </w:rPr>
  </w:style>
  <w:style w:type="character" w:customStyle="1" w:styleId="218">
    <w:name w:val="强调1"/>
    <w:basedOn w:val="203"/>
    <w:qFormat/>
    <w:uiPriority w:val="0"/>
    <w:rPr>
      <w:b/>
      <w:bCs/>
    </w:rPr>
  </w:style>
  <w:style w:type="character" w:customStyle="1" w:styleId="219">
    <w:name w:val="HTML 定义1"/>
    <w:basedOn w:val="203"/>
    <w:qFormat/>
    <w:uiPriority w:val="0"/>
  </w:style>
  <w:style w:type="character" w:customStyle="1" w:styleId="220">
    <w:name w:val="HTML 打字机1"/>
    <w:basedOn w:val="203"/>
    <w:qFormat/>
    <w:uiPriority w:val="0"/>
    <w:rPr>
      <w:rFonts w:ascii="monospace" w:hAnsi="monospace" w:eastAsia="monospace" w:cs="monospace"/>
      <w:sz w:val="20"/>
    </w:rPr>
  </w:style>
  <w:style w:type="character" w:customStyle="1" w:styleId="221">
    <w:name w:val="HTML 缩写1"/>
    <w:basedOn w:val="203"/>
    <w:qFormat/>
    <w:uiPriority w:val="0"/>
  </w:style>
  <w:style w:type="character" w:customStyle="1" w:styleId="222">
    <w:name w:val="HTML 变量1"/>
    <w:basedOn w:val="203"/>
    <w:qFormat/>
    <w:uiPriority w:val="0"/>
  </w:style>
  <w:style w:type="character" w:customStyle="1" w:styleId="223">
    <w:name w:val="超链接1"/>
    <w:basedOn w:val="203"/>
    <w:qFormat/>
    <w:uiPriority w:val="0"/>
    <w:rPr>
      <w:color w:val="0000FF"/>
      <w:u w:val="none"/>
    </w:rPr>
  </w:style>
  <w:style w:type="character" w:customStyle="1" w:styleId="224">
    <w:name w:val="HTML 代码1"/>
    <w:basedOn w:val="203"/>
    <w:qFormat/>
    <w:uiPriority w:val="0"/>
    <w:rPr>
      <w:rFonts w:ascii="monospace" w:hAnsi="monospace" w:eastAsia="monospace" w:cs="monospace"/>
      <w:sz w:val="20"/>
    </w:rPr>
  </w:style>
  <w:style w:type="character" w:customStyle="1" w:styleId="225">
    <w:name w:val="HTML 引文1"/>
    <w:basedOn w:val="203"/>
    <w:qFormat/>
    <w:uiPriority w:val="0"/>
  </w:style>
  <w:style w:type="character" w:customStyle="1" w:styleId="226">
    <w:name w:val="HTML 键盘1"/>
    <w:basedOn w:val="203"/>
    <w:qFormat/>
    <w:uiPriority w:val="0"/>
    <w:rPr>
      <w:rFonts w:ascii="monospace" w:hAnsi="monospace" w:eastAsia="monospace" w:cs="monospace"/>
      <w:sz w:val="20"/>
    </w:rPr>
  </w:style>
  <w:style w:type="character" w:customStyle="1" w:styleId="227">
    <w:name w:val="HTML 样本1"/>
    <w:basedOn w:val="203"/>
    <w:qFormat/>
    <w:uiPriority w:val="0"/>
    <w:rPr>
      <w:rFonts w:ascii="monospace" w:hAnsi="monospace" w:eastAsia="monospace" w:cs="monospace"/>
    </w:rPr>
  </w:style>
  <w:style w:type="paragraph" w:customStyle="1" w:styleId="228">
    <w:name w:val="普通正文"/>
    <w:basedOn w:val="1"/>
    <w:qFormat/>
    <w:uiPriority w:val="0"/>
    <w:pPr>
      <w:spacing w:before="120" w:after="120" w:line="360" w:lineRule="auto"/>
      <w:ind w:firstLine="480"/>
      <w:jc w:val="left"/>
    </w:pPr>
    <w:rPr>
      <w:rFonts w:ascii="Arial" w:hAnsi="Arial"/>
      <w:sz w:val="24"/>
    </w:rPr>
  </w:style>
  <w:style w:type="paragraph" w:customStyle="1" w:styleId="229">
    <w:name w:val="WPSOffice手动目录 1"/>
    <w:qFormat/>
    <w:uiPriority w:val="0"/>
    <w:rPr>
      <w:rFonts w:ascii="Times New Roman" w:hAnsi="Times New Roman" w:eastAsia="宋体" w:cs="Times New Roman"/>
      <w:lang w:val="en-US" w:eastAsia="zh-CN" w:bidi="ar-SA"/>
    </w:rPr>
  </w:style>
  <w:style w:type="character" w:customStyle="1" w:styleId="230">
    <w:name w:val="标题 4 Char"/>
    <w:qFormat/>
    <w:uiPriority w:val="9"/>
    <w:rPr>
      <w:rFonts w:ascii="Cambria" w:hAnsi="Cambria" w:eastAsia="宋体" w:cs="Times New Roman"/>
      <w:b/>
      <w:bCs/>
      <w:sz w:val="28"/>
      <w:szCs w:val="28"/>
    </w:rPr>
  </w:style>
  <w:style w:type="paragraph" w:customStyle="1" w:styleId="231">
    <w:name w:val="Normal_2"/>
    <w:qFormat/>
    <w:uiPriority w:val="0"/>
    <w:rPr>
      <w:rFonts w:ascii="Times New Roman" w:hAnsi="Times New Roman" w:eastAsia="Times New Roman" w:cs="Times New Roman"/>
      <w:sz w:val="24"/>
      <w:szCs w:val="24"/>
      <w:lang w:val="en-US" w:eastAsia="zh-CN" w:bidi="ar-SA"/>
    </w:rPr>
  </w:style>
  <w:style w:type="paragraph" w:customStyle="1" w:styleId="232">
    <w:name w:val="Normal_3"/>
    <w:qFormat/>
    <w:uiPriority w:val="0"/>
    <w:rPr>
      <w:rFonts w:ascii="Times New Roman" w:hAnsi="Times New Roman" w:eastAsia="Times New Roman" w:cs="Times New Roman"/>
      <w:sz w:val="24"/>
      <w:szCs w:val="24"/>
      <w:lang w:val="en-US" w:eastAsia="zh-CN" w:bidi="ar-SA"/>
    </w:rPr>
  </w:style>
  <w:style w:type="paragraph" w:customStyle="1" w:styleId="233">
    <w:name w:val="Normal_5"/>
    <w:qFormat/>
    <w:uiPriority w:val="0"/>
    <w:rPr>
      <w:rFonts w:ascii="Times New Roman" w:hAnsi="Times New Roman" w:eastAsia="Times New Roman" w:cs="Times New Roman"/>
      <w:sz w:val="24"/>
      <w:szCs w:val="24"/>
      <w:lang w:val="en-US" w:eastAsia="zh-CN" w:bidi="ar-SA"/>
    </w:rPr>
  </w:style>
  <w:style w:type="paragraph" w:customStyle="1" w:styleId="234">
    <w:name w:val="Normal_6"/>
    <w:qFormat/>
    <w:uiPriority w:val="0"/>
    <w:rPr>
      <w:rFonts w:ascii="Times New Roman" w:hAnsi="Times New Roman" w:eastAsia="Times New Roman" w:cs="Times New Roman"/>
      <w:sz w:val="24"/>
      <w:szCs w:val="24"/>
      <w:lang w:val="en-US" w:eastAsia="zh-CN" w:bidi="ar-SA"/>
    </w:rPr>
  </w:style>
  <w:style w:type="paragraph" w:customStyle="1" w:styleId="235">
    <w:name w:val="Normal_12"/>
    <w:next w:val="236"/>
    <w:qFormat/>
    <w:uiPriority w:val="0"/>
    <w:rPr>
      <w:rFonts w:ascii="Times New Roman" w:hAnsi="Times New Roman" w:eastAsia="Times New Roman" w:cs="Times New Roman"/>
      <w:sz w:val="24"/>
      <w:szCs w:val="24"/>
      <w:lang w:val="en-US" w:eastAsia="zh-CN" w:bidi="ar-SA"/>
    </w:rPr>
  </w:style>
  <w:style w:type="paragraph" w:customStyle="1" w:styleId="236">
    <w:name w:val="首行缩进_0"/>
    <w:basedOn w:val="237"/>
    <w:qFormat/>
    <w:uiPriority w:val="0"/>
    <w:pPr>
      <w:spacing w:line="360" w:lineRule="auto"/>
      <w:ind w:firstLine="480"/>
      <w:jc w:val="left"/>
    </w:pPr>
    <w:rPr>
      <w:rFonts w:ascii="宋体" w:hAnsi="宋体"/>
      <w:sz w:val="24"/>
    </w:rPr>
  </w:style>
  <w:style w:type="paragraph" w:customStyle="1" w:styleId="237">
    <w:name w:val="Normal_9"/>
    <w:next w:val="23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38">
    <w:name w:val="Normal_0_0"/>
    <w:qFormat/>
    <w:uiPriority w:val="0"/>
    <w:rPr>
      <w:rFonts w:ascii="Times New Roman" w:hAnsi="Times New Roman" w:eastAsia="Times New Roman" w:cs="Times New Roman"/>
      <w:sz w:val="24"/>
      <w:szCs w:val="24"/>
      <w:lang w:val="en-US" w:eastAsia="zh-CN" w:bidi="ar-SA"/>
    </w:rPr>
  </w:style>
  <w:style w:type="paragraph" w:customStyle="1" w:styleId="239">
    <w:name w:val="Normal_7"/>
    <w:qFormat/>
    <w:uiPriority w:val="0"/>
    <w:rPr>
      <w:rFonts w:ascii="Times New Roman" w:hAnsi="Times New Roman" w:eastAsia="Times New Roman" w:cs="Times New Roman"/>
      <w:sz w:val="24"/>
      <w:szCs w:val="24"/>
      <w:lang w:val="en-US" w:eastAsia="zh-CN" w:bidi="ar-SA"/>
    </w:rPr>
  </w:style>
  <w:style w:type="paragraph" w:customStyle="1" w:styleId="240">
    <w:name w:val="Normal_0"/>
    <w:next w:val="236"/>
    <w:qFormat/>
    <w:uiPriority w:val="0"/>
    <w:rPr>
      <w:rFonts w:ascii="Times New Roman" w:hAnsi="Times New Roman" w:eastAsia="Times New Roman" w:cs="Times New Roman"/>
      <w:sz w:val="24"/>
      <w:szCs w:val="24"/>
      <w:lang w:val="en-US" w:eastAsia="zh-CN" w:bidi="ar-SA"/>
    </w:rPr>
  </w:style>
  <w:style w:type="paragraph" w:customStyle="1" w:styleId="241">
    <w:name w:val="Normal_0_0_0"/>
    <w:qFormat/>
    <w:uiPriority w:val="0"/>
    <w:rPr>
      <w:rFonts w:ascii="Times New Roman" w:hAnsi="Times New Roman" w:eastAsia="Times New Roman" w:cs="Times New Roman"/>
      <w:sz w:val="24"/>
      <w:szCs w:val="24"/>
      <w:lang w:val="en-US" w:eastAsia="zh-CN" w:bidi="ar-SA"/>
    </w:rPr>
  </w:style>
  <w:style w:type="paragraph" w:customStyle="1" w:styleId="242">
    <w:name w:val="正文 A"/>
    <w:next w:val="55"/>
    <w:qFormat/>
    <w:uiPriority w:val="0"/>
    <w:pPr>
      <w:widowControl w:val="0"/>
      <w:jc w:val="both"/>
    </w:pPr>
    <w:rPr>
      <w:rFonts w:ascii="Arial Unicode MS" w:hAnsi="Arial Unicode MS" w:eastAsia="Times New Roman" w:cs="Arial Unicode MS"/>
      <w:color w:val="000000"/>
      <w:sz w:val="21"/>
      <w:szCs w:val="21"/>
      <w:lang w:val="en-US" w:eastAsia="zh-CN" w:bidi="ar-SA"/>
    </w:rPr>
  </w:style>
  <w:style w:type="paragraph" w:customStyle="1" w:styleId="243">
    <w:name w:val="样式1"/>
    <w:basedOn w:val="1"/>
    <w:qFormat/>
    <w:uiPriority w:val="0"/>
    <w:pPr>
      <w:numPr>
        <w:ilvl w:val="0"/>
        <w:numId w:val="1"/>
      </w:numPr>
      <w:ind w:firstLine="0"/>
    </w:pPr>
    <w:rPr>
      <w:rFonts w:ascii="宋体" w:hAnsi="宋体" w:cs="宋体"/>
      <w:szCs w:val="21"/>
    </w:rPr>
  </w:style>
  <w:style w:type="paragraph" w:styleId="244">
    <w:name w:val="List Paragraph"/>
    <w:basedOn w:val="1"/>
    <w:qFormat/>
    <w:uiPriority w:val="34"/>
    <w:pPr>
      <w:ind w:firstLine="420"/>
    </w:pPr>
  </w:style>
  <w:style w:type="paragraph" w:customStyle="1" w:styleId="245">
    <w:name w:val="Normal_0_2"/>
    <w:qFormat/>
    <w:uiPriority w:val="0"/>
    <w:rPr>
      <w:rFonts w:ascii="Times New Roman" w:hAnsi="Times New Roman" w:eastAsia="Times New Roman" w:cs="Times New Roman"/>
      <w:sz w:val="24"/>
      <w:szCs w:val="24"/>
      <w:lang w:val="en-US" w:eastAsia="zh-CN" w:bidi="ar-SA"/>
    </w:rPr>
  </w:style>
  <w:style w:type="paragraph" w:customStyle="1" w:styleId="246">
    <w:name w:val="Normal_1_1"/>
    <w:qFormat/>
    <w:uiPriority w:val="0"/>
    <w:rPr>
      <w:rFonts w:ascii="Times New Roman" w:hAnsi="Times New Roman" w:eastAsia="Times New Roman" w:cs="Times New Roman"/>
      <w:sz w:val="24"/>
      <w:szCs w:val="24"/>
      <w:lang w:val="en-US" w:eastAsia="zh-CN" w:bidi="ar-SA"/>
    </w:rPr>
  </w:style>
  <w:style w:type="paragraph" w:customStyle="1" w:styleId="247">
    <w:name w:val="Normal_0_1_0"/>
    <w:qFormat/>
    <w:uiPriority w:val="0"/>
    <w:rPr>
      <w:rFonts w:ascii="Times New Roman" w:hAnsi="Times New Roman" w:eastAsia="Times New Roman" w:cs="Times New Roman"/>
      <w:sz w:val="24"/>
      <w:szCs w:val="24"/>
      <w:lang w:val="en-US" w:eastAsia="zh-CN" w:bidi="ar-SA"/>
    </w:rPr>
  </w:style>
  <w:style w:type="paragraph" w:customStyle="1" w:styleId="248">
    <w:name w:val="Normal_0_4"/>
    <w:qFormat/>
    <w:uiPriority w:val="0"/>
    <w:rPr>
      <w:rFonts w:ascii="Times New Roman" w:hAnsi="Times New Roman" w:eastAsia="Times New Roman" w:cs="Times New Roman"/>
      <w:sz w:val="24"/>
      <w:szCs w:val="24"/>
      <w:lang w:val="en-US" w:eastAsia="zh-CN" w:bidi="ar-SA"/>
    </w:rPr>
  </w:style>
  <w:style w:type="paragraph" w:customStyle="1" w:styleId="249">
    <w:name w:val="Normal_13"/>
    <w:qFormat/>
    <w:uiPriority w:val="0"/>
    <w:rPr>
      <w:rFonts w:ascii="Times New Roman" w:hAnsi="Times New Roman" w:eastAsia="Times New Roman" w:cs="Times New Roman"/>
      <w:sz w:val="24"/>
      <w:szCs w:val="24"/>
      <w:lang w:val="en-US" w:eastAsia="zh-CN" w:bidi="ar-SA"/>
    </w:rPr>
  </w:style>
  <w:style w:type="character" w:customStyle="1" w:styleId="250">
    <w:name w:val="hover"/>
    <w:basedOn w:val="203"/>
    <w:qFormat/>
    <w:uiPriority w:val="0"/>
  </w:style>
  <w:style w:type="character" w:customStyle="1" w:styleId="251">
    <w:name w:val="hover1"/>
    <w:basedOn w:val="203"/>
    <w:qFormat/>
    <w:uiPriority w:val="0"/>
    <w:rPr>
      <w:color w:val="2590EB"/>
    </w:rPr>
  </w:style>
  <w:style w:type="character" w:customStyle="1" w:styleId="252">
    <w:name w:val="hover2"/>
    <w:basedOn w:val="203"/>
    <w:qFormat/>
    <w:uiPriority w:val="0"/>
    <w:rPr>
      <w:color w:val="2590EB"/>
    </w:rPr>
  </w:style>
  <w:style w:type="character" w:customStyle="1" w:styleId="253">
    <w:name w:val="mini-outputtext1"/>
    <w:basedOn w:val="203"/>
    <w:qFormat/>
    <w:uiPriority w:val="0"/>
  </w:style>
  <w:style w:type="paragraph" w:customStyle="1" w:styleId="254">
    <w:name w:val="Normal_18_0"/>
    <w:qFormat/>
    <w:uiPriority w:val="0"/>
    <w:rPr>
      <w:rFonts w:ascii="Times New Roman" w:hAnsi="Times New Roman" w:eastAsia="Times New Roman" w:cs="Times New Roman"/>
      <w:sz w:val="24"/>
      <w:szCs w:val="24"/>
      <w:lang w:val="en-US" w:eastAsia="zh-CN" w:bidi="ar-SA"/>
    </w:rPr>
  </w:style>
  <w:style w:type="paragraph" w:customStyle="1" w:styleId="255">
    <w:name w:val="Normal_24"/>
    <w:qFormat/>
    <w:uiPriority w:val="0"/>
    <w:rPr>
      <w:rFonts w:ascii="Times New Roman" w:hAnsi="Times New Roman" w:eastAsia="Times New Roman" w:cs="Times New Roman"/>
      <w:sz w:val="24"/>
      <w:szCs w:val="24"/>
      <w:lang w:val="en-US" w:eastAsia="zh-CN" w:bidi="ar-SA"/>
    </w:rPr>
  </w:style>
  <w:style w:type="paragraph" w:customStyle="1" w:styleId="256">
    <w:name w:val="Normal_27"/>
    <w:qFormat/>
    <w:uiPriority w:val="0"/>
    <w:rPr>
      <w:rFonts w:ascii="Times New Roman" w:hAnsi="Times New Roman" w:eastAsia="Times New Roman" w:cs="Times New Roman"/>
      <w:sz w:val="24"/>
      <w:szCs w:val="24"/>
      <w:lang w:val="en-US" w:eastAsia="zh-CN" w:bidi="ar-SA"/>
    </w:rPr>
  </w:style>
  <w:style w:type="paragraph" w:customStyle="1" w:styleId="257">
    <w:name w:val="Normal_43"/>
    <w:qFormat/>
    <w:uiPriority w:val="0"/>
    <w:rPr>
      <w:rFonts w:ascii="Times New Roman" w:hAnsi="Times New Roman" w:eastAsia="Times New Roman" w:cs="Times New Roman"/>
      <w:sz w:val="24"/>
      <w:szCs w:val="24"/>
      <w:lang w:val="en-US" w:eastAsia="zh-CN" w:bidi="ar-SA"/>
    </w:rPr>
  </w:style>
  <w:style w:type="paragraph" w:customStyle="1" w:styleId="258">
    <w:name w:val="Normal_6_1"/>
    <w:qFormat/>
    <w:uiPriority w:val="0"/>
    <w:rPr>
      <w:rFonts w:ascii="Times New Roman" w:hAnsi="Times New Roman" w:eastAsia="Times New Roman" w:cs="Times New Roman"/>
      <w:sz w:val="24"/>
      <w:szCs w:val="24"/>
      <w:lang w:val="en-US" w:eastAsia="zh-CN" w:bidi="ar-SA"/>
    </w:rPr>
  </w:style>
  <w:style w:type="paragraph" w:customStyle="1" w:styleId="259">
    <w:name w:val="Normal_0_1"/>
    <w:qFormat/>
    <w:uiPriority w:val="0"/>
    <w:rPr>
      <w:rFonts w:ascii="Times New Roman" w:hAnsi="Times New Roman" w:eastAsia="Times New Roman" w:cs="Times New Roman"/>
      <w:sz w:val="24"/>
      <w:szCs w:val="24"/>
      <w:lang w:val="en-US" w:eastAsia="zh-CN" w:bidi="ar-SA"/>
    </w:rPr>
  </w:style>
  <w:style w:type="paragraph" w:customStyle="1" w:styleId="260">
    <w:name w:val="Normal_23"/>
    <w:qFormat/>
    <w:uiPriority w:val="0"/>
    <w:rPr>
      <w:rFonts w:ascii="Times New Roman" w:hAnsi="Times New Roman" w:eastAsia="Times New Roman" w:cs="Times New Roman"/>
      <w:sz w:val="24"/>
      <w:szCs w:val="24"/>
      <w:lang w:val="en-US" w:eastAsia="zh-CN" w:bidi="ar-SA"/>
    </w:rPr>
  </w:style>
  <w:style w:type="paragraph" w:customStyle="1" w:styleId="261">
    <w:name w:val="p0"/>
    <w:basedOn w:val="1"/>
    <w:qFormat/>
    <w:uiPriority w:val="99"/>
    <w:pPr>
      <w:widowControl/>
    </w:pPr>
    <w:rPr>
      <w:rFonts w:ascii="Calibri" w:hAnsi="Calibri" w:cs="宋体"/>
      <w:szCs w:val="21"/>
    </w:rPr>
  </w:style>
  <w:style w:type="paragraph" w:customStyle="1" w:styleId="262">
    <w:name w:val="Normal_2_0"/>
    <w:qFormat/>
    <w:uiPriority w:val="0"/>
    <w:rPr>
      <w:rFonts w:ascii="Times New Roman" w:hAnsi="Times New Roman" w:eastAsia="Times New Roman" w:cs="Times New Roman"/>
      <w:sz w:val="24"/>
      <w:szCs w:val="24"/>
      <w:lang w:val="en-US" w:eastAsia="zh-CN" w:bidi="ar-SA"/>
    </w:rPr>
  </w:style>
  <w:style w:type="paragraph" w:customStyle="1" w:styleId="263">
    <w:name w:val="Normal_4_0"/>
    <w:qFormat/>
    <w:uiPriority w:val="0"/>
    <w:rPr>
      <w:rFonts w:ascii="Times New Roman" w:hAnsi="Times New Roman" w:eastAsia="Times New Roman" w:cs="Times New Roman"/>
      <w:sz w:val="24"/>
      <w:szCs w:val="24"/>
      <w:lang w:val="en-US" w:eastAsia="zh-CN" w:bidi="ar-SA"/>
    </w:rPr>
  </w:style>
  <w:style w:type="paragraph" w:customStyle="1" w:styleId="264">
    <w:name w:val="Normal_5_0"/>
    <w:qFormat/>
    <w:uiPriority w:val="0"/>
    <w:rPr>
      <w:rFonts w:ascii="Times New Roman" w:hAnsi="Times New Roman" w:eastAsia="Times New Roman" w:cs="Times New Roman"/>
      <w:sz w:val="24"/>
      <w:szCs w:val="24"/>
      <w:lang w:val="en-US" w:eastAsia="zh-CN" w:bidi="ar-SA"/>
    </w:rPr>
  </w:style>
  <w:style w:type="table" w:customStyle="1" w:styleId="265">
    <w:name w:val="TableGrid1"/>
    <w:qFormat/>
    <w:uiPriority w:val="0"/>
    <w:tblPr>
      <w:tblCellMar>
        <w:top w:w="0" w:type="dxa"/>
        <w:left w:w="0" w:type="dxa"/>
        <w:bottom w:w="0" w:type="dxa"/>
        <w:right w:w="0" w:type="dxa"/>
      </w:tblCellMar>
    </w:tblPr>
  </w:style>
  <w:style w:type="paragraph" w:styleId="266">
    <w:name w:val="No Spacing"/>
    <w:qFormat/>
    <w:uiPriority w:val="1"/>
    <w:pPr>
      <w:widowControl w:val="0"/>
      <w:jc w:val="both"/>
    </w:pPr>
    <w:rPr>
      <w:rFonts w:ascii="Calibri" w:hAnsi="Calibri" w:eastAsia="宋体" w:cs="Times New Roman"/>
      <w:sz w:val="21"/>
      <w:szCs w:val="22"/>
      <w:lang w:val="en-US" w:eastAsia="zh-CN" w:bidi="ar-SA"/>
    </w:rPr>
  </w:style>
  <w:style w:type="paragraph" w:customStyle="1" w:styleId="267">
    <w:name w:val="Normal_25"/>
    <w:qFormat/>
    <w:uiPriority w:val="0"/>
    <w:rPr>
      <w:rFonts w:ascii="Times New Roman" w:hAnsi="Times New Roman" w:eastAsia="Times New Roman" w:cs="Times New Roman"/>
      <w:sz w:val="24"/>
      <w:szCs w:val="24"/>
      <w:lang w:val="en-US" w:eastAsia="zh-CN" w:bidi="ar-SA"/>
    </w:rPr>
  </w:style>
  <w:style w:type="paragraph" w:customStyle="1" w:styleId="268">
    <w:name w:val="Normal_26"/>
    <w:qFormat/>
    <w:uiPriority w:val="0"/>
    <w:rPr>
      <w:rFonts w:ascii="Times New Roman" w:hAnsi="Times New Roman" w:eastAsia="Times New Roman" w:cs="Times New Roman"/>
      <w:sz w:val="24"/>
      <w:szCs w:val="24"/>
      <w:lang w:val="en-US" w:eastAsia="zh-CN" w:bidi="ar-SA"/>
    </w:rPr>
  </w:style>
  <w:style w:type="paragraph" w:customStyle="1" w:styleId="269">
    <w:name w:val="正文_0_0"/>
    <w:qFormat/>
    <w:uiPriority w:val="0"/>
    <w:pPr>
      <w:widowControl w:val="0"/>
      <w:jc w:val="both"/>
    </w:pPr>
    <w:rPr>
      <w:rFonts w:ascii="Calibri" w:hAnsi="Calibri" w:eastAsia="宋体" w:cs="Times New Roman"/>
      <w:sz w:val="21"/>
      <w:szCs w:val="22"/>
      <w:lang w:val="en-US" w:eastAsia="zh-CN" w:bidi="ar-SA"/>
    </w:rPr>
  </w:style>
  <w:style w:type="paragraph" w:customStyle="1" w:styleId="270">
    <w:name w:val="Normal_30"/>
    <w:qFormat/>
    <w:uiPriority w:val="0"/>
    <w:rPr>
      <w:rFonts w:ascii="Times New Roman" w:hAnsi="Times New Roman" w:eastAsia="Times New Roman" w:cs="Times New Roman"/>
      <w:sz w:val="24"/>
      <w:szCs w:val="24"/>
      <w:lang w:val="en-US" w:eastAsia="zh-CN" w:bidi="ar-SA"/>
    </w:rPr>
  </w:style>
  <w:style w:type="paragraph" w:customStyle="1" w:styleId="271">
    <w:name w:val="WPSOffice手动目录 2"/>
    <w:qFormat/>
    <w:uiPriority w:val="0"/>
    <w:rPr>
      <w:rFonts w:ascii="Times New Roman" w:hAnsi="Times New Roman" w:eastAsia="宋体" w:cs="Times New Roman"/>
      <w:lang w:val="en-US" w:eastAsia="zh-CN" w:bidi="ar-SA"/>
    </w:rPr>
  </w:style>
  <w:style w:type="paragraph" w:customStyle="1" w:styleId="272">
    <w:name w:val="WPSOffice手动目录 3"/>
    <w:qFormat/>
    <w:uiPriority w:val="0"/>
    <w:rPr>
      <w:rFonts w:ascii="Times New Roman" w:hAnsi="Times New Roman" w:eastAsia="宋体" w:cs="Times New Roman"/>
      <w:lang w:val="en-US" w:eastAsia="zh-CN" w:bidi="ar-SA"/>
    </w:rPr>
  </w:style>
  <w:style w:type="paragraph" w:customStyle="1" w:styleId="273">
    <w:name w:val="p0_0"/>
    <w:basedOn w:val="240"/>
    <w:qFormat/>
    <w:uiPriority w:val="0"/>
    <w:rPr>
      <w:szCs w:val="21"/>
    </w:rPr>
  </w:style>
  <w:style w:type="paragraph" w:customStyle="1" w:styleId="274">
    <w:name w:val="标题 41"/>
    <w:basedOn w:val="1"/>
    <w:next w:val="1"/>
    <w:qFormat/>
    <w:uiPriority w:val="0"/>
    <w:pPr>
      <w:keepNext/>
      <w:keepLines/>
      <w:spacing w:before="280" w:after="290" w:line="376" w:lineRule="auto"/>
      <w:outlineLvl w:val="3"/>
    </w:pPr>
    <w:rPr>
      <w:rFonts w:ascii="Arial" w:hAnsi="Arial" w:eastAsia="黑体"/>
      <w:b/>
      <w:bCs/>
      <w:sz w:val="28"/>
      <w:szCs w:val="28"/>
    </w:rPr>
  </w:style>
  <w:style w:type="character" w:customStyle="1" w:styleId="275">
    <w:name w:val="默认段落字体11"/>
    <w:semiHidden/>
    <w:qFormat/>
    <w:uiPriority w:val="0"/>
  </w:style>
  <w:style w:type="paragraph" w:customStyle="1" w:styleId="276">
    <w:name w:val="Normal_20"/>
    <w:qFormat/>
    <w:uiPriority w:val="0"/>
    <w:rPr>
      <w:rFonts w:ascii="Times New Roman" w:hAnsi="Times New Roman" w:eastAsia="Times New Roman" w:cs="Times New Roman"/>
      <w:sz w:val="24"/>
      <w:szCs w:val="24"/>
      <w:lang w:val="en-US" w:eastAsia="zh-CN" w:bidi="ar-SA"/>
    </w:rPr>
  </w:style>
  <w:style w:type="paragraph" w:customStyle="1" w:styleId="277">
    <w:name w:val="Normal_14"/>
    <w:qFormat/>
    <w:uiPriority w:val="0"/>
    <w:rPr>
      <w:rFonts w:ascii="Times New Roman" w:hAnsi="Times New Roman" w:eastAsia="Times New Roman" w:cs="Times New Roman"/>
      <w:sz w:val="24"/>
      <w:szCs w:val="24"/>
      <w:lang w:val="en-US" w:eastAsia="zh-CN" w:bidi="ar-SA"/>
    </w:rPr>
  </w:style>
  <w:style w:type="paragraph" w:customStyle="1" w:styleId="278">
    <w:name w:val="Normal_18"/>
    <w:qFormat/>
    <w:uiPriority w:val="0"/>
    <w:rPr>
      <w:rFonts w:ascii="Times New Roman" w:hAnsi="Times New Roman" w:eastAsia="Times New Roman" w:cs="Times New Roman"/>
      <w:sz w:val="24"/>
      <w:szCs w:val="24"/>
      <w:lang w:val="en-US" w:eastAsia="zh-CN" w:bidi="ar-SA"/>
    </w:rPr>
  </w:style>
  <w:style w:type="paragraph" w:customStyle="1" w:styleId="279">
    <w:name w:val="Normal_0_3"/>
    <w:qFormat/>
    <w:uiPriority w:val="0"/>
    <w:rPr>
      <w:rFonts w:ascii="Times New Roman" w:hAnsi="Times New Roman" w:eastAsia="Times New Roman" w:cs="Times New Roman"/>
      <w:sz w:val="24"/>
      <w:szCs w:val="24"/>
      <w:lang w:val="en-US" w:eastAsia="zh-CN" w:bidi="ar-SA"/>
    </w:rPr>
  </w:style>
  <w:style w:type="paragraph" w:customStyle="1" w:styleId="280">
    <w:name w:val="Normal_0_6"/>
    <w:qFormat/>
    <w:uiPriority w:val="0"/>
    <w:rPr>
      <w:rFonts w:ascii="Times New Roman" w:hAnsi="Times New Roman" w:eastAsia="Times New Roman" w:cs="Times New Roman"/>
      <w:sz w:val="24"/>
      <w:szCs w:val="24"/>
      <w:lang w:val="en-US" w:eastAsia="zh-CN" w:bidi="ar-SA"/>
    </w:rPr>
  </w:style>
  <w:style w:type="paragraph" w:customStyle="1" w:styleId="281">
    <w:name w:val="Normal_19"/>
    <w:qFormat/>
    <w:uiPriority w:val="0"/>
    <w:rPr>
      <w:rFonts w:ascii="Times New Roman" w:hAnsi="Times New Roman" w:eastAsia="Times New Roman" w:cs="Times New Roman"/>
      <w:sz w:val="24"/>
      <w:szCs w:val="24"/>
      <w:lang w:val="en-US" w:eastAsia="zh-CN" w:bidi="ar-SA"/>
    </w:rPr>
  </w:style>
  <w:style w:type="paragraph" w:customStyle="1" w:styleId="282">
    <w:name w:val="Normal_17"/>
    <w:qFormat/>
    <w:uiPriority w:val="0"/>
    <w:rPr>
      <w:rFonts w:ascii="Times New Roman" w:hAnsi="Times New Roman" w:eastAsia="Times New Roman" w:cs="Times New Roman"/>
      <w:sz w:val="24"/>
      <w:szCs w:val="24"/>
      <w:lang w:val="en-US" w:eastAsia="zh-CN" w:bidi="ar-SA"/>
    </w:rPr>
  </w:style>
  <w:style w:type="paragraph" w:customStyle="1" w:styleId="283">
    <w:name w:val="Normal_8_1"/>
    <w:qFormat/>
    <w:uiPriority w:val="0"/>
    <w:rPr>
      <w:rFonts w:ascii="Times New Roman" w:hAnsi="Times New Roman" w:eastAsia="Times New Roman" w:cs="Times New Roman"/>
      <w:sz w:val="24"/>
      <w:szCs w:val="24"/>
      <w:lang w:val="en-US" w:eastAsia="zh-CN" w:bidi="ar-SA"/>
    </w:rPr>
  </w:style>
  <w:style w:type="paragraph" w:customStyle="1" w:styleId="284">
    <w:name w:val="Normal_9_0"/>
    <w:qFormat/>
    <w:uiPriority w:val="0"/>
    <w:rPr>
      <w:rFonts w:ascii="Times New Roman" w:hAnsi="Times New Roman" w:eastAsia="Times New Roman" w:cs="Times New Roman"/>
      <w:sz w:val="24"/>
      <w:szCs w:val="24"/>
      <w:lang w:val="en-US" w:eastAsia="zh-CN" w:bidi="ar-SA"/>
    </w:rPr>
  </w:style>
  <w:style w:type="paragraph" w:customStyle="1" w:styleId="285">
    <w:name w:val="Normal_11_0"/>
    <w:qFormat/>
    <w:uiPriority w:val="0"/>
    <w:rPr>
      <w:rFonts w:ascii="Times New Roman" w:hAnsi="Times New Roman" w:eastAsia="Times New Roman" w:cs="Times New Roman"/>
      <w:sz w:val="24"/>
      <w:szCs w:val="24"/>
      <w:lang w:val="en-US" w:eastAsia="zh-CN" w:bidi="ar-SA"/>
    </w:rPr>
  </w:style>
  <w:style w:type="paragraph" w:customStyle="1" w:styleId="286">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287">
    <w:name w:val="Table Text"/>
    <w:qFormat/>
    <w:uiPriority w:val="99"/>
    <w:pPr>
      <w:spacing w:before="80" w:after="80"/>
    </w:pPr>
    <w:rPr>
      <w:rFonts w:ascii="Arial" w:hAnsi="Arial" w:eastAsiaTheme="minorEastAsia" w:cstheme="minorBidi"/>
      <w:sz w:val="18"/>
      <w:szCs w:val="18"/>
      <w:lang w:val="en-US" w:eastAsia="zh-CN" w:bidi="ar-SA"/>
    </w:rPr>
  </w:style>
  <w:style w:type="table" w:customStyle="1" w:styleId="288">
    <w:name w:val="Table Normal1"/>
    <w:semiHidden/>
    <w:unhideWhenUsed/>
    <w:qFormat/>
    <w:uiPriority w:val="0"/>
    <w:rPr>
      <w:rFonts w:ascii="Arial" w:hAnsi="Arial" w:cs="Arial"/>
    </w:rPr>
    <w:tblPr>
      <w:tblCellMar>
        <w:top w:w="0" w:type="dxa"/>
        <w:left w:w="0" w:type="dxa"/>
        <w:bottom w:w="0" w:type="dxa"/>
        <w:right w:w="0" w:type="dxa"/>
      </w:tblCellMar>
    </w:tblPr>
  </w:style>
  <w:style w:type="paragraph" w:customStyle="1" w:styleId="289">
    <w:name w:val="Normal_1_0_0"/>
    <w:qFormat/>
    <w:uiPriority w:val="0"/>
    <w:rPr>
      <w:rFonts w:ascii="Times New Roman" w:hAnsi="Times New Roman" w:eastAsia="Times New Roman" w:cs="Times New Roman"/>
      <w:sz w:val="24"/>
      <w:szCs w:val="24"/>
      <w:lang w:val="en-US" w:eastAsia="zh-CN" w:bidi="ar-SA"/>
    </w:rPr>
  </w:style>
  <w:style w:type="paragraph" w:customStyle="1" w:styleId="290">
    <w:name w:val="Normal_2_0_0"/>
    <w:qFormat/>
    <w:uiPriority w:val="0"/>
    <w:rPr>
      <w:rFonts w:ascii="Times New Roman" w:hAnsi="Times New Roman" w:eastAsia="Times New Roman" w:cs="Times New Roman"/>
      <w:sz w:val="24"/>
      <w:szCs w:val="24"/>
      <w:lang w:val="en-US" w:eastAsia="zh-CN" w:bidi="ar-SA"/>
    </w:rPr>
  </w:style>
  <w:style w:type="paragraph" w:customStyle="1" w:styleId="291">
    <w:name w:val="Normal_3_0_0"/>
    <w:qFormat/>
    <w:uiPriority w:val="0"/>
    <w:rPr>
      <w:rFonts w:ascii="Times New Roman" w:hAnsi="Times New Roman" w:eastAsia="Times New Roman" w:cs="Times New Roman"/>
      <w:sz w:val="24"/>
      <w:szCs w:val="24"/>
      <w:lang w:val="en-US" w:eastAsia="zh-CN" w:bidi="ar-SA"/>
    </w:rPr>
  </w:style>
  <w:style w:type="paragraph" w:customStyle="1" w:styleId="292">
    <w:name w:val="Normal_28"/>
    <w:qFormat/>
    <w:uiPriority w:val="0"/>
    <w:rPr>
      <w:rFonts w:ascii="Times New Roman" w:hAnsi="Times New Roman" w:eastAsia="Times New Roman" w:cs="Times New Roman"/>
      <w:sz w:val="24"/>
      <w:szCs w:val="24"/>
      <w:lang w:val="en-US" w:eastAsia="zh-CN" w:bidi="ar-SA"/>
    </w:rPr>
  </w:style>
  <w:style w:type="paragraph" w:customStyle="1" w:styleId="293">
    <w:name w:val="Table Paragraph"/>
    <w:basedOn w:val="1"/>
    <w:qFormat/>
    <w:uiPriority w:val="1"/>
  </w:style>
  <w:style w:type="character" w:customStyle="1" w:styleId="294">
    <w:name w:val="默认段落字体12"/>
    <w:unhideWhenUsed/>
    <w:qFormat/>
    <w:uiPriority w:val="1"/>
    <w:rPr>
      <w:rFonts w:ascii="Calibri" w:hAnsi="Calibri" w:eastAsia="宋体" w:cs="Times New Roman"/>
      <w:sz w:val="21"/>
      <w:szCs w:val="22"/>
      <w:lang w:val="en-US" w:eastAsia="zh-CN" w:bidi="ar-SA"/>
    </w:rPr>
  </w:style>
  <w:style w:type="character" w:customStyle="1" w:styleId="295">
    <w:name w:val="font101"/>
    <w:basedOn w:val="39"/>
    <w:qFormat/>
    <w:uiPriority w:val="0"/>
    <w:rPr>
      <w:rFonts w:hint="default" w:ascii="仿宋_GB2312" w:eastAsia="仿宋_GB2312" w:cs="仿宋_GB2312"/>
      <w:color w:val="000000"/>
      <w:sz w:val="24"/>
      <w:szCs w:val="24"/>
      <w:u w:val="none"/>
    </w:rPr>
  </w:style>
  <w:style w:type="paragraph" w:customStyle="1" w:styleId="296">
    <w:name w:val="msonormal"/>
    <w:basedOn w:val="1"/>
    <w:qFormat/>
    <w:uiPriority w:val="0"/>
    <w:pPr>
      <w:widowControl/>
      <w:spacing w:before="100" w:beforeAutospacing="1" w:after="100" w:afterAutospacing="1" w:line="240" w:lineRule="auto"/>
      <w:ind w:firstLine="0"/>
      <w:jc w:val="left"/>
    </w:pPr>
    <w:rPr>
      <w:rFonts w:ascii="宋体" w:hAnsi="宋体" w:cs="宋体"/>
      <w:sz w:val="24"/>
    </w:rPr>
  </w:style>
  <w:style w:type="paragraph" w:customStyle="1" w:styleId="297">
    <w:name w:val="font5"/>
    <w:basedOn w:val="1"/>
    <w:qFormat/>
    <w:uiPriority w:val="0"/>
    <w:pPr>
      <w:widowControl/>
      <w:spacing w:before="100" w:beforeAutospacing="1" w:after="100" w:afterAutospacing="1" w:line="240" w:lineRule="auto"/>
      <w:ind w:firstLine="0"/>
      <w:jc w:val="left"/>
    </w:pPr>
    <w:rPr>
      <w:rFonts w:ascii="宋体" w:hAnsi="宋体" w:cs="宋体"/>
      <w:color w:val="000000"/>
      <w:sz w:val="28"/>
      <w:szCs w:val="28"/>
    </w:rPr>
  </w:style>
  <w:style w:type="paragraph" w:customStyle="1" w:styleId="298">
    <w:name w:val="font6"/>
    <w:basedOn w:val="1"/>
    <w:qFormat/>
    <w:uiPriority w:val="0"/>
    <w:pPr>
      <w:widowControl/>
      <w:spacing w:before="100" w:beforeAutospacing="1" w:after="100" w:afterAutospacing="1" w:line="240" w:lineRule="auto"/>
      <w:ind w:firstLine="0"/>
      <w:jc w:val="left"/>
    </w:pPr>
    <w:rPr>
      <w:rFonts w:ascii="宋体" w:hAnsi="宋体" w:cs="宋体"/>
      <w:color w:val="000000"/>
      <w:sz w:val="28"/>
      <w:szCs w:val="28"/>
    </w:rPr>
  </w:style>
  <w:style w:type="paragraph" w:customStyle="1" w:styleId="299">
    <w:name w:val="font7"/>
    <w:basedOn w:val="1"/>
    <w:qFormat/>
    <w:uiPriority w:val="0"/>
    <w:pPr>
      <w:widowControl/>
      <w:spacing w:before="100" w:beforeAutospacing="1" w:after="100" w:afterAutospacing="1" w:line="240" w:lineRule="auto"/>
      <w:ind w:firstLine="0"/>
      <w:jc w:val="left"/>
    </w:pPr>
    <w:rPr>
      <w:rFonts w:ascii="宋体" w:hAnsi="宋体" w:cs="宋体"/>
      <w:sz w:val="18"/>
      <w:szCs w:val="18"/>
    </w:rPr>
  </w:style>
  <w:style w:type="paragraph" w:customStyle="1" w:styleId="300">
    <w:name w:val="xl66"/>
    <w:basedOn w:val="1"/>
    <w:qFormat/>
    <w:uiPriority w:val="0"/>
    <w:pPr>
      <w:widowControl/>
      <w:spacing w:before="100" w:beforeAutospacing="1" w:after="100" w:afterAutospacing="1" w:line="240" w:lineRule="auto"/>
      <w:ind w:firstLine="0"/>
      <w:jc w:val="center"/>
    </w:pPr>
    <w:rPr>
      <w:rFonts w:ascii="仿宋_GB2312" w:hAnsi="宋体" w:eastAsia="仿宋_GB2312" w:cs="宋体"/>
      <w:b/>
      <w:bCs/>
      <w:sz w:val="32"/>
      <w:szCs w:val="32"/>
    </w:rPr>
  </w:style>
  <w:style w:type="paragraph" w:customStyle="1" w:styleId="301">
    <w:name w:val="xl67"/>
    <w:basedOn w:val="1"/>
    <w:qFormat/>
    <w:uiPriority w:val="0"/>
    <w:pPr>
      <w:widowControl/>
      <w:spacing w:before="100" w:beforeAutospacing="1" w:after="100" w:afterAutospacing="1" w:line="240" w:lineRule="auto"/>
      <w:ind w:firstLine="0"/>
      <w:jc w:val="center"/>
    </w:pPr>
    <w:rPr>
      <w:rFonts w:ascii="仿宋_GB2312" w:hAnsi="宋体" w:eastAsia="仿宋_GB2312" w:cs="宋体"/>
      <w:color w:val="FF0000"/>
      <w:sz w:val="32"/>
      <w:szCs w:val="32"/>
    </w:rPr>
  </w:style>
  <w:style w:type="paragraph" w:customStyle="1" w:styleId="302">
    <w:name w:val="xl68"/>
    <w:basedOn w:val="1"/>
    <w:qFormat/>
    <w:uiPriority w:val="0"/>
    <w:pPr>
      <w:widowControl/>
      <w:spacing w:before="100" w:beforeAutospacing="1" w:after="100" w:afterAutospacing="1" w:line="240" w:lineRule="auto"/>
      <w:ind w:firstLine="0"/>
      <w:jc w:val="center"/>
    </w:pPr>
    <w:rPr>
      <w:rFonts w:ascii="仿宋_GB2312" w:hAnsi="宋体" w:eastAsia="仿宋_GB2312" w:cs="宋体"/>
      <w:sz w:val="32"/>
      <w:szCs w:val="32"/>
    </w:rPr>
  </w:style>
  <w:style w:type="paragraph" w:customStyle="1" w:styleId="303">
    <w:name w:val="xl69"/>
    <w:basedOn w:val="1"/>
    <w:qFormat/>
    <w:uiPriority w:val="0"/>
    <w:pPr>
      <w:widowControl/>
      <w:spacing w:before="100" w:beforeAutospacing="1" w:after="100" w:afterAutospacing="1" w:line="240" w:lineRule="auto"/>
      <w:ind w:firstLine="0"/>
      <w:jc w:val="left"/>
    </w:pPr>
    <w:rPr>
      <w:rFonts w:ascii="仿宋_GB2312" w:hAnsi="宋体" w:eastAsia="仿宋_GB2312" w:cs="宋体"/>
      <w:color w:val="E54C5E"/>
      <w:sz w:val="32"/>
      <w:szCs w:val="32"/>
    </w:rPr>
  </w:style>
  <w:style w:type="paragraph" w:customStyle="1" w:styleId="304">
    <w:name w:val="xl70"/>
    <w:basedOn w:val="1"/>
    <w:qFormat/>
    <w:uiPriority w:val="0"/>
    <w:pPr>
      <w:widowControl/>
      <w:spacing w:before="100" w:beforeAutospacing="1" w:after="100" w:afterAutospacing="1" w:line="240" w:lineRule="auto"/>
      <w:ind w:firstLine="0"/>
      <w:jc w:val="left"/>
    </w:pPr>
    <w:rPr>
      <w:rFonts w:ascii="仿宋_GB2312" w:hAnsi="宋体" w:eastAsia="仿宋_GB2312" w:cs="宋体"/>
      <w:sz w:val="32"/>
      <w:szCs w:val="32"/>
    </w:rPr>
  </w:style>
  <w:style w:type="paragraph" w:customStyle="1" w:styleId="305">
    <w:name w:val="xl71"/>
    <w:basedOn w:val="1"/>
    <w:qFormat/>
    <w:uiPriority w:val="0"/>
    <w:pPr>
      <w:widowControl/>
      <w:spacing w:before="100" w:beforeAutospacing="1" w:after="100" w:afterAutospacing="1" w:line="240" w:lineRule="auto"/>
      <w:ind w:firstLine="0"/>
      <w:jc w:val="left"/>
    </w:pPr>
    <w:rPr>
      <w:rFonts w:ascii="仿宋_GB2312" w:hAnsi="宋体" w:eastAsia="仿宋_GB2312" w:cs="宋体"/>
      <w:color w:val="FF0000"/>
      <w:sz w:val="32"/>
      <w:szCs w:val="32"/>
    </w:rPr>
  </w:style>
  <w:style w:type="paragraph" w:customStyle="1" w:styleId="306">
    <w:name w:val="xl72"/>
    <w:basedOn w:val="1"/>
    <w:qFormat/>
    <w:uiPriority w:val="0"/>
    <w:pPr>
      <w:widowControl/>
      <w:spacing w:before="100" w:beforeAutospacing="1" w:after="100" w:afterAutospacing="1" w:line="240" w:lineRule="auto"/>
      <w:ind w:firstLine="0"/>
      <w:jc w:val="center"/>
    </w:pPr>
    <w:rPr>
      <w:rFonts w:ascii="仿宋_GB2312" w:hAnsi="宋体" w:eastAsia="仿宋_GB2312" w:cs="宋体"/>
      <w:color w:val="E54C5E"/>
      <w:sz w:val="32"/>
      <w:szCs w:val="32"/>
    </w:rPr>
  </w:style>
  <w:style w:type="paragraph" w:customStyle="1" w:styleId="307">
    <w:name w:val="xl73"/>
    <w:basedOn w:val="1"/>
    <w:qFormat/>
    <w:uiPriority w:val="0"/>
    <w:pPr>
      <w:widowControl/>
      <w:spacing w:before="100" w:beforeAutospacing="1" w:after="100" w:afterAutospacing="1" w:line="240" w:lineRule="auto"/>
      <w:ind w:firstLine="0"/>
      <w:jc w:val="left"/>
    </w:pPr>
    <w:rPr>
      <w:rFonts w:ascii="仿宋_GB2312" w:hAnsi="宋体" w:eastAsia="仿宋_GB2312" w:cs="宋体"/>
      <w:sz w:val="32"/>
      <w:szCs w:val="32"/>
    </w:rPr>
  </w:style>
  <w:style w:type="paragraph" w:customStyle="1" w:styleId="308">
    <w:name w:val="xl74"/>
    <w:basedOn w:val="1"/>
    <w:qFormat/>
    <w:uiPriority w:val="0"/>
    <w:pPr>
      <w:widowControl/>
      <w:spacing w:before="100" w:beforeAutospacing="1" w:after="100" w:afterAutospacing="1" w:line="240" w:lineRule="auto"/>
      <w:ind w:firstLine="0"/>
      <w:jc w:val="center"/>
    </w:pPr>
    <w:rPr>
      <w:rFonts w:ascii="宋体" w:hAnsi="宋体" w:cs="宋体"/>
      <w:sz w:val="24"/>
    </w:rPr>
  </w:style>
  <w:style w:type="paragraph" w:customStyle="1" w:styleId="309">
    <w:name w:val="xl75"/>
    <w:basedOn w:val="1"/>
    <w:qFormat/>
    <w:uiPriority w:val="0"/>
    <w:pPr>
      <w:widowControl/>
      <w:shd w:val="clear" w:color="000000" w:fill="FFFFFF"/>
      <w:spacing w:before="100" w:beforeAutospacing="1" w:after="100" w:afterAutospacing="1" w:line="240" w:lineRule="auto"/>
      <w:ind w:firstLine="0"/>
      <w:jc w:val="center"/>
    </w:pPr>
    <w:rPr>
      <w:rFonts w:ascii="宋体" w:hAnsi="宋体" w:cs="宋体"/>
      <w:sz w:val="24"/>
    </w:rPr>
  </w:style>
  <w:style w:type="paragraph" w:customStyle="1" w:styleId="310">
    <w:name w:val="xl76"/>
    <w:basedOn w:val="1"/>
    <w:qFormat/>
    <w:uiPriority w:val="0"/>
    <w:pPr>
      <w:widowControl/>
      <w:spacing w:before="100" w:beforeAutospacing="1" w:after="100" w:afterAutospacing="1" w:line="240" w:lineRule="auto"/>
      <w:ind w:firstLine="0"/>
      <w:jc w:val="center"/>
    </w:pPr>
    <w:rPr>
      <w:rFonts w:ascii="宋体" w:hAnsi="宋体" w:cs="宋体"/>
      <w:color w:val="E54C5E"/>
      <w:sz w:val="24"/>
    </w:rPr>
  </w:style>
  <w:style w:type="paragraph" w:customStyle="1" w:styleId="311">
    <w:name w:val="xl77"/>
    <w:basedOn w:val="1"/>
    <w:qFormat/>
    <w:uiPriority w:val="0"/>
    <w:pPr>
      <w:widowControl/>
      <w:spacing w:before="100" w:beforeAutospacing="1" w:after="100" w:afterAutospacing="1" w:line="240" w:lineRule="auto"/>
      <w:ind w:firstLine="0"/>
      <w:jc w:val="left"/>
    </w:pPr>
    <w:rPr>
      <w:rFonts w:ascii="宋体" w:hAnsi="宋体" w:cs="宋体"/>
      <w:sz w:val="24"/>
    </w:rPr>
  </w:style>
  <w:style w:type="paragraph" w:customStyle="1" w:styleId="312">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sz w:val="28"/>
      <w:szCs w:val="28"/>
    </w:rPr>
  </w:style>
  <w:style w:type="paragraph" w:customStyle="1" w:styleId="313">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textAlignment w:val="bottom"/>
    </w:pPr>
    <w:rPr>
      <w:rFonts w:ascii="宋体" w:hAnsi="宋体" w:cs="宋体"/>
      <w:sz w:val="28"/>
      <w:szCs w:val="28"/>
    </w:rPr>
  </w:style>
  <w:style w:type="paragraph" w:customStyle="1" w:styleId="314">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sz w:val="28"/>
      <w:szCs w:val="28"/>
    </w:rPr>
  </w:style>
  <w:style w:type="paragraph" w:customStyle="1" w:styleId="315">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jc w:val="center"/>
    </w:pPr>
    <w:rPr>
      <w:rFonts w:ascii="宋体" w:hAnsi="宋体" w:cs="宋体"/>
      <w:sz w:val="28"/>
      <w:szCs w:val="28"/>
    </w:rPr>
  </w:style>
  <w:style w:type="paragraph" w:customStyle="1" w:styleId="316">
    <w:name w:val="xl82"/>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jc w:val="center"/>
      <w:textAlignment w:val="bottom"/>
    </w:pPr>
    <w:rPr>
      <w:rFonts w:ascii="宋体" w:hAnsi="宋体" w:cs="宋体"/>
      <w:sz w:val="28"/>
      <w:szCs w:val="28"/>
    </w:rPr>
  </w:style>
  <w:style w:type="paragraph" w:customStyle="1" w:styleId="317">
    <w:name w:val="xl83"/>
    <w:basedOn w:val="1"/>
    <w:qFormat/>
    <w:uiPriority w:val="0"/>
    <w:pPr>
      <w:widowControl/>
      <w:spacing w:before="100" w:beforeAutospacing="1" w:after="100" w:afterAutospacing="1" w:line="240" w:lineRule="auto"/>
      <w:ind w:firstLine="0"/>
      <w:jc w:val="center"/>
    </w:pPr>
    <w:rPr>
      <w:rFonts w:ascii="宋体" w:hAnsi="宋体" w:cs="宋体"/>
      <w:sz w:val="28"/>
      <w:szCs w:val="28"/>
    </w:rPr>
  </w:style>
  <w:style w:type="paragraph" w:customStyle="1" w:styleId="318">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sz w:val="28"/>
      <w:szCs w:val="28"/>
    </w:rPr>
  </w:style>
  <w:style w:type="paragraph" w:customStyle="1" w:styleId="319">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sz w:val="28"/>
      <w:szCs w:val="28"/>
    </w:rPr>
  </w:style>
  <w:style w:type="paragraph" w:customStyle="1" w:styleId="320">
    <w:name w:val="xl86"/>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jc w:val="center"/>
    </w:pPr>
    <w:rPr>
      <w:rFonts w:ascii="宋体" w:hAnsi="宋体" w:cs="宋体"/>
      <w:sz w:val="28"/>
      <w:szCs w:val="28"/>
    </w:rPr>
  </w:style>
  <w:style w:type="paragraph" w:customStyle="1" w:styleId="321">
    <w:name w:val="xl87"/>
    <w:basedOn w:val="1"/>
    <w:qFormat/>
    <w:uiPriority w:val="0"/>
    <w:pPr>
      <w:widowControl/>
      <w:pBdr>
        <w:top w:val="single" w:color="auto" w:sz="4" w:space="0"/>
        <w:left w:val="single" w:color="auto" w:sz="4" w:space="0"/>
        <w:right w:val="single" w:color="auto" w:sz="4" w:space="0"/>
      </w:pBdr>
      <w:spacing w:before="100" w:beforeAutospacing="1" w:after="100" w:afterAutospacing="1" w:line="240" w:lineRule="auto"/>
      <w:ind w:firstLine="0"/>
      <w:jc w:val="center"/>
    </w:pPr>
    <w:rPr>
      <w:rFonts w:ascii="宋体" w:hAnsi="宋体" w:cs="宋体"/>
      <w:sz w:val="28"/>
      <w:szCs w:val="28"/>
    </w:rPr>
  </w:style>
  <w:style w:type="paragraph" w:customStyle="1" w:styleId="32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color w:val="000000"/>
      <w:sz w:val="28"/>
      <w:szCs w:val="28"/>
    </w:rPr>
  </w:style>
  <w:style w:type="paragraph" w:customStyle="1" w:styleId="323">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jc w:val="center"/>
    </w:pPr>
    <w:rPr>
      <w:rFonts w:ascii="宋体" w:hAnsi="宋体" w:cs="宋体"/>
      <w:sz w:val="28"/>
      <w:szCs w:val="28"/>
    </w:rPr>
  </w:style>
  <w:style w:type="paragraph" w:customStyle="1" w:styleId="324">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ind w:firstLine="0"/>
      <w:jc w:val="center"/>
    </w:pPr>
    <w:rPr>
      <w:rFonts w:ascii="宋体" w:hAnsi="宋体" w:cs="宋体"/>
      <w:sz w:val="28"/>
      <w:szCs w:val="28"/>
    </w:rPr>
  </w:style>
  <w:style w:type="paragraph" w:customStyle="1" w:styleId="32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仿宋_GB2312" w:hAnsi="宋体" w:eastAsia="仿宋_GB2312" w:cs="宋体"/>
      <w:b/>
      <w:bCs/>
      <w:sz w:val="28"/>
      <w:szCs w:val="28"/>
    </w:rPr>
  </w:style>
  <w:style w:type="paragraph" w:customStyle="1" w:styleId="326">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仿宋_GB2312" w:hAnsi="宋体" w:eastAsia="仿宋_GB2312" w:cs="宋体"/>
      <w:b/>
      <w:bCs/>
      <w:sz w:val="24"/>
    </w:rPr>
  </w:style>
  <w:style w:type="paragraph" w:customStyle="1" w:styleId="327">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Microsoft YaHei UI" w:hAnsi="Microsoft YaHei UI" w:eastAsia="Microsoft YaHei UI" w:cs="宋体"/>
      <w:b/>
      <w:bCs/>
      <w:sz w:val="28"/>
      <w:szCs w:val="28"/>
    </w:rPr>
  </w:style>
  <w:style w:type="paragraph" w:customStyle="1" w:styleId="328">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sz w:val="28"/>
      <w:szCs w:val="28"/>
    </w:rPr>
  </w:style>
  <w:style w:type="paragraph" w:customStyle="1" w:styleId="329">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sz w:val="28"/>
      <w:szCs w:val="28"/>
    </w:rPr>
  </w:style>
  <w:style w:type="paragraph" w:customStyle="1" w:styleId="33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宋体" w:hAnsi="宋体" w:cs="宋体"/>
      <w:sz w:val="28"/>
      <w:szCs w:val="28"/>
    </w:rPr>
  </w:style>
  <w:style w:type="paragraph" w:customStyle="1" w:styleId="331">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240" w:lineRule="auto"/>
      <w:ind w:firstLine="0"/>
      <w:jc w:val="center"/>
    </w:pPr>
    <w:rPr>
      <w:rFonts w:ascii="仿宋_GB2312" w:hAnsi="宋体" w:eastAsia="仿宋_GB2312" w:cs="宋体"/>
      <w:sz w:val="32"/>
      <w:szCs w:val="32"/>
    </w:rPr>
  </w:style>
  <w:style w:type="paragraph" w:customStyle="1" w:styleId="332">
    <w:name w:val="font8"/>
    <w:basedOn w:val="1"/>
    <w:qFormat/>
    <w:uiPriority w:val="0"/>
    <w:pPr>
      <w:widowControl/>
      <w:spacing w:before="100" w:beforeAutospacing="1" w:after="100" w:afterAutospacing="1" w:line="240" w:lineRule="auto"/>
      <w:ind w:firstLine="0"/>
      <w:jc w:val="left"/>
    </w:pPr>
    <w:rPr>
      <w:rFonts w:ascii="宋体" w:hAnsi="宋体" w:cs="宋体"/>
      <w:sz w:val="18"/>
      <w:szCs w:val="18"/>
    </w:rPr>
  </w:style>
  <w:style w:type="paragraph" w:customStyle="1" w:styleId="333">
    <w:name w:val="font9"/>
    <w:basedOn w:val="1"/>
    <w:qFormat/>
    <w:uiPriority w:val="0"/>
    <w:pPr>
      <w:widowControl/>
      <w:spacing w:before="100" w:beforeAutospacing="1" w:after="100" w:afterAutospacing="1" w:line="240" w:lineRule="auto"/>
      <w:ind w:firstLine="0"/>
      <w:jc w:val="left"/>
    </w:pPr>
    <w:rPr>
      <w:rFonts w:ascii="宋体" w:hAnsi="宋体" w:cs="宋体"/>
      <w:b/>
      <w:bCs/>
      <w:color w:val="00000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2.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62</Pages>
  <Words>13269</Words>
  <Characters>13770</Characters>
  <Lines>266</Lines>
  <Paragraphs>75</Paragraphs>
  <TotalTime>1</TotalTime>
  <ScaleCrop>false</ScaleCrop>
  <LinksUpToDate>false</LinksUpToDate>
  <CharactersWithSpaces>14260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2025-11-04T04:18:00Z</dcterms:created>
  <dc:creator>user</dc:creator>
  <cp:lastModifiedBy>淇@棋</cp:lastModifiedBy>
  <cp:lastPrinted>2025-09-23T05:55:00Z</cp:lastPrinted>
  <dcterms:modified xsi:type="dcterms:W3CDTF">2025-11-13T02:38:22Z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341261DFC457400A9696C1020BE2F562_13</vt:lpwstr>
  </property>
  <property fmtid="{D5CDD505-2E9C-101B-9397-08002B2CF9AE}" pid="4" name="KSOTemplateDocerSaveRecord">
    <vt:lpwstr>eyJoZGlkIjoiMDQ5NmFiZDU2YjRiYTRmNmY1MTEyYjY3NGVkMGY1YmMiLCJ1c2VySWQiOiIxMjExMjgxMzU0In0=</vt:lpwstr>
  </property>
</Properties>
</file>